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6E5E302E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794FE23C" w14:textId="77777777" w:rsidTr="613CB4DA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D1BDC4" w14:textId="77777777" w:rsidR="00CD0414" w:rsidRPr="0014339F" w:rsidRDefault="00A7092D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Biologia mikroorganizmów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CD5EC4" w14:textId="77777777" w:rsidR="00CD0414" w:rsidRPr="003A2588" w:rsidRDefault="00A7092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14:paraId="246B7FEA" w14:textId="77777777" w:rsidTr="613CB4DA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723B3EED" w14:textId="77777777" w:rsidR="00CD0414" w:rsidRPr="00582090" w:rsidRDefault="00A7092D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CF6FEB">
              <w:rPr>
                <w:sz w:val="16"/>
                <w:szCs w:val="18"/>
              </w:rPr>
              <w:t>Biology</w:t>
            </w:r>
            <w:proofErr w:type="spellEnd"/>
            <w:r w:rsidRPr="00CF6FEB">
              <w:rPr>
                <w:sz w:val="16"/>
                <w:szCs w:val="18"/>
              </w:rPr>
              <w:t xml:space="preserve"> of </w:t>
            </w:r>
            <w:proofErr w:type="spellStart"/>
            <w:r w:rsidRPr="00CF6FEB">
              <w:rPr>
                <w:sz w:val="16"/>
                <w:szCs w:val="18"/>
              </w:rPr>
              <w:t>microorganisms</w:t>
            </w:r>
            <w:proofErr w:type="spellEnd"/>
          </w:p>
        </w:tc>
      </w:tr>
      <w:tr w:rsidR="00CD0414" w14:paraId="5ED8D245" w14:textId="77777777" w:rsidTr="613CB4D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7B466A03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575DE6E8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D0414" w14:paraId="0A37501D" w14:textId="77777777" w:rsidTr="613CB4DA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613CB4DA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61A7A942" w14:textId="77777777" w:rsidTr="613CB4DA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11DAF8A1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23458749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4BD585" w14:textId="3D63C8C5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2E6EB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09A02CD2" w:rsidR="00CD0414" w:rsidRPr="00CD0414" w:rsidRDefault="005D441E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050549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6B6B3AAF" w14:textId="77777777" w:rsidTr="613CB4DA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CD0414" w:rsidRPr="00CD0414" w:rsidRDefault="005D441E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59AE96DF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3"/>
            </w:tblGrid>
            <w:tr w:rsidR="002E6EBF" w:rsidRPr="002E6EBF" w14:paraId="479971B7" w14:textId="77777777">
              <w:trPr>
                <w:trHeight w:val="80"/>
              </w:trPr>
              <w:tc>
                <w:tcPr>
                  <w:tcW w:w="1773" w:type="dxa"/>
                </w:tcPr>
                <w:p w14:paraId="7CFB3AEE" w14:textId="77777777" w:rsidR="002E6EBF" w:rsidRPr="002E6EBF" w:rsidRDefault="002E6EBF" w:rsidP="0014339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E6EB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WHBIOZ-BW-1S-03Z-02_21 </w:t>
                  </w:r>
                </w:p>
              </w:tc>
            </w:tr>
          </w:tbl>
          <w:p w14:paraId="72A3D3EC" w14:textId="77777777" w:rsidR="00CD0414" w:rsidRPr="006C766B" w:rsidRDefault="00CD041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D11F9" w:rsidRPr="00CD0414" w14:paraId="0D0B940D" w14:textId="77777777" w:rsidTr="613CB4DA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7B00A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7265B22" w14:textId="77777777" w:rsidTr="613CB4D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12A0F" w14:textId="77777777" w:rsidR="00ED11F9" w:rsidRPr="007D736E" w:rsidRDefault="00A7092D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B2278">
              <w:rPr>
                <w:rFonts w:cs="Calibri"/>
                <w:sz w:val="16"/>
                <w:szCs w:val="16"/>
              </w:rPr>
              <w:t>Dr Ilona Stefańska</w:t>
            </w:r>
          </w:p>
        </w:tc>
      </w:tr>
      <w:tr w:rsidR="00ED11F9" w14:paraId="5C74FC35" w14:textId="77777777" w:rsidTr="613CB4D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F44C5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52DFE30E" w:rsidR="00ED11F9" w:rsidRPr="00582090" w:rsidRDefault="613CB4DA" w:rsidP="613CB4D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613CB4DA">
              <w:rPr>
                <w:b/>
                <w:bCs/>
                <w:sz w:val="16"/>
                <w:szCs w:val="16"/>
              </w:rPr>
              <w:t>Dr Ilona Stefa</w:t>
            </w:r>
            <w:r w:rsidRPr="0014339F">
              <w:rPr>
                <w:rFonts w:cs="Calibri"/>
                <w:b/>
                <w:bCs/>
                <w:sz w:val="16"/>
                <w:szCs w:val="16"/>
              </w:rPr>
              <w:t>ń</w:t>
            </w:r>
            <w:r w:rsidRPr="613CB4DA">
              <w:rPr>
                <w:b/>
                <w:bCs/>
                <w:sz w:val="16"/>
                <w:szCs w:val="16"/>
              </w:rPr>
              <w:t xml:space="preserve">ska, Mgr Ewelina Kwiecień, Dr Anna Słońska-Zielonka, Dr hab. Magdalena Rzewuska prof. SGGW, Dr Agnieszka </w:t>
            </w:r>
            <w:proofErr w:type="spellStart"/>
            <w:r w:rsidRPr="613CB4DA">
              <w:rPr>
                <w:b/>
                <w:bCs/>
                <w:sz w:val="16"/>
                <w:szCs w:val="16"/>
              </w:rPr>
              <w:t>Sałamaszyńska</w:t>
            </w:r>
            <w:proofErr w:type="spellEnd"/>
            <w:r w:rsidRPr="613CB4DA">
              <w:rPr>
                <w:b/>
                <w:bCs/>
                <w:sz w:val="16"/>
                <w:szCs w:val="16"/>
              </w:rPr>
              <w:t>-Guz, Dr Małgorzata Biegańska, Dr hab. Joanna Cymerys-Bulenda</w:t>
            </w:r>
          </w:p>
        </w:tc>
      </w:tr>
      <w:tr w:rsidR="00ED11F9" w14:paraId="22458AAF" w14:textId="77777777" w:rsidTr="613CB4D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0E998BC9" w:rsidR="00ED11F9" w:rsidRPr="00582090" w:rsidRDefault="613CB4DA" w:rsidP="0014339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613CB4D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Cele przedmiotu</w:t>
            </w:r>
            <w:r w:rsidRPr="613CB4DA">
              <w:rPr>
                <w:rFonts w:ascii="Calibri" w:eastAsia="Calibri" w:hAnsi="Calibri" w:cs="Calibri"/>
                <w:sz w:val="16"/>
                <w:szCs w:val="16"/>
              </w:rPr>
              <w:t>: Założeniem kształcenia jest zdobywanie przez studentów podstawowych wiadomości oraz umiejętności i</w:t>
            </w:r>
          </w:p>
          <w:p w14:paraId="2163E764" w14:textId="77777777" w:rsidR="00A7092D" w:rsidRPr="00A7092D" w:rsidRDefault="00A7092D" w:rsidP="00A7092D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 xml:space="preserve">kompetencji niezbędnych do wykonywania przyszłej pracy zawodowej lub kontynuacji studiów wymagających wiedzy na temat eukariotycznych, </w:t>
            </w:r>
            <w:proofErr w:type="spellStart"/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prokariotycznych</w:t>
            </w:r>
            <w:proofErr w:type="spellEnd"/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 xml:space="preserve"> i </w:t>
            </w:r>
            <w:proofErr w:type="spellStart"/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subkomórkowych</w:t>
            </w:r>
            <w:proofErr w:type="spellEnd"/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 xml:space="preserve"> czynników chorobotwórczych dla zwierząt, naturalnych środowisk ich występowania, ich struktury, met</w:t>
            </w:r>
            <w:r w:rsidRPr="00A7092D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boli</w:t>
            </w:r>
            <w:r w:rsidRPr="00A7092D"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mu i fi</w:t>
            </w:r>
            <w:r w:rsidRPr="00A7092D"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 xml:space="preserve">jologii, </w:t>
            </w:r>
            <w:r w:rsidRPr="00A7092D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 xml:space="preserve"> t</w:t>
            </w:r>
            <w:r w:rsidRPr="00A7092D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k</w:t>
            </w:r>
            <w:r w:rsidRPr="00A7092D">
              <w:rPr>
                <w:rFonts w:ascii="Calibri" w:eastAsia="Calibri" w:hAnsi="Calibri" w:cs="Calibri"/>
                <w:sz w:val="16"/>
                <w:szCs w:val="16"/>
              </w:rPr>
              <w:t>ż</w:t>
            </w: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e mechani</w:t>
            </w:r>
            <w:r w:rsidRPr="00A7092D"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mów patogenności.</w:t>
            </w:r>
          </w:p>
          <w:p w14:paraId="5505C56F" w14:textId="77777777" w:rsidR="00A7092D" w:rsidRPr="00A7092D" w:rsidRDefault="00A7092D" w:rsidP="00A7092D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 xml:space="preserve">Efektem kształcenia jest zdobycie następujących umiejętności i kompetencji: posługiwanie się podstawowymi technikami badań mikrobiologicznych przydatnymi w identyfikacji bakterii, grzybów i wirusów, pracy z żywymi czynnikami zakaźnymi. Rozumienie fizjologicznych podstaw funkcjonowania drobnoustrojów i ich roli w różnych zwierzęcych </w:t>
            </w:r>
            <w:proofErr w:type="spellStart"/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mikrobiomach</w:t>
            </w:r>
            <w:proofErr w:type="spellEnd"/>
            <w:r w:rsidRPr="00A7092D">
              <w:rPr>
                <w:rFonts w:ascii="Calibri" w:eastAsia="Calibri" w:hAnsi="Calibri" w:cs="Times New Roman"/>
                <w:sz w:val="16"/>
                <w:szCs w:val="16"/>
              </w:rPr>
              <w:t>, znajomość źródeł i rezerwuarów patogenów, dróg szerzenia się zakażeń, rozumienie molekularnych mechanizmów chorobotwórczości drobnoustrojów.  Rozumienie i stosowanie zasad aseptyki, antyseptyki, mechanizmów oporności i skutków nadużywania antybiotyków.</w:t>
            </w:r>
          </w:p>
          <w:p w14:paraId="67E71AD4" w14:textId="1241F2BB" w:rsidR="00ED11F9" w:rsidRDefault="613CB4DA" w:rsidP="00A7092D">
            <w:pPr>
              <w:spacing w:line="240" w:lineRule="auto"/>
              <w:rPr>
                <w:sz w:val="16"/>
                <w:szCs w:val="16"/>
              </w:rPr>
            </w:pPr>
            <w:r w:rsidRPr="613CB4D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Tematyka zajęć</w:t>
            </w:r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  <w:r w:rsidRPr="613CB4DA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</w:t>
            </w:r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Podstawy klasyfikacji i taksonomii mikroorganizmów; podział świata ożywionego, systematyka konwencjonalna i filogenetyczna.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Procaryota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. Rozmnażanie drobnoustrojów. Ocena wzrostu drobnoustrojów. Fazy wzrostu. Czas jednej generacji. Podstawowe funkcje życiowe mikroorganizmów: sposób oddychania i odżywiania, zapotrzebowanie na składniki odżywcze.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Przetrwalnikowanie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. Aktywność enzymatyczna drobnoustrojów. Ekologia bakterii. Wpływ czynników środowiskowych na drobnoustroje. Sterylizacja, dezynfekcja.  Oporność na antybiotyki. Podstawowe grupy antybiotyków, mechanizmy nabywania cech oporności. Podstawy genetyki drobnoustrojów. Genom, geny i ich ekspresja.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Biofilm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 tworzony przez drobnoustroje. Strategie przetrwania w środowisku. Biota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komensalna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. Drobnoustroje zasiedlające przewód pokarmowy zwierząt monogastrycznych i przeżuwaczy. Kolonizacja i zakażenie. Chorobotwórczość drobnoustrojów. Cechy warunkujące zjadliwość, Adherencja do komórek gospodarza, mechanizm wnikania do komórek, produkcja toksyn, mimikra molekularna. Drobnoustroje przydatne w przetwórstwie spożywczym; bakterie fermentacji mlekowej,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probiotyki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. 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Eucaryota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. Biologia i morfologia grzybów mikroskopowych. Grzyby chorobotwórcze i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toksynotwórcze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- zagrożenie dla ludzi i zwierząt. Syndrom chorego budynku. Wprowadzenie do wirusologii: Wirus jako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subkomórkowa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 struktura zakaźna, morfologia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wirionu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, replikacja wirusów. Typ zakażenia i jego konsekwencje, faza produktywna i nie produktywna zakażenia, latencja.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Onkogeneza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 wirusowa cechy transformacji wirusowej, właściwości komórek ulegających transformacji. Wirusy odwrotnie transkrybujące – retro i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hepadna-replikacja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 xml:space="preserve"> i potencjał transformacyjny. Infekcyjne czynniki </w:t>
            </w:r>
            <w:proofErr w:type="spellStart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subwirusowe</w:t>
            </w:r>
            <w:proofErr w:type="spellEnd"/>
            <w:r w:rsidRPr="613CB4DA">
              <w:rPr>
                <w:rFonts w:ascii="Calibri" w:eastAsia="Calibri" w:hAnsi="Calibri" w:cs="Times New Roman"/>
                <w:sz w:val="16"/>
                <w:szCs w:val="16"/>
              </w:rPr>
              <w:t>, priony- podstawowe właściwości, „replikacja”.</w:t>
            </w:r>
          </w:p>
          <w:p w14:paraId="3656B9AB" w14:textId="05863DF4" w:rsidR="00ED11F9" w:rsidRPr="00582090" w:rsidRDefault="00ED11F9" w:rsidP="613CB4D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1DF927E9" w14:textId="77777777" w:rsidTr="613CB4DA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AA579" w14:textId="3EA2CDD5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F658EC">
              <w:rPr>
                <w:sz w:val="16"/>
                <w:szCs w:val="16"/>
              </w:rPr>
              <w:t>30</w:t>
            </w:r>
          </w:p>
          <w:p w14:paraId="66076E3A" w14:textId="228518D1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F658EC">
              <w:rPr>
                <w:sz w:val="16"/>
                <w:szCs w:val="16"/>
              </w:rPr>
              <w:t>15</w:t>
            </w:r>
          </w:p>
          <w:p w14:paraId="59EEF318" w14:textId="7E9DF135" w:rsidR="00ED11F9" w:rsidRPr="00BD2417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FB7896" w:rsidRPr="00E31A6B" w14:paraId="2D46501F" w14:textId="77777777" w:rsidTr="613CB4DA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FB7896" w:rsidRPr="00582090" w:rsidRDefault="00FB7896" w:rsidP="00FB78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59917" w14:textId="77777777" w:rsidR="00FB7896" w:rsidRPr="00582090" w:rsidRDefault="00FB7896" w:rsidP="00FB78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62C">
              <w:rPr>
                <w:sz w:val="16"/>
                <w:szCs w:val="16"/>
              </w:rPr>
              <w:t>Wykłady monograficzne z wizualizacją w Power Point, Ćwiczenia laboratoryjne polegające na samodzielnym wykonaniu przez studen</w:t>
            </w:r>
            <w:r>
              <w:rPr>
                <w:sz w:val="16"/>
                <w:szCs w:val="16"/>
              </w:rPr>
              <w:t>tów przewidzianych planem zadań.</w:t>
            </w:r>
          </w:p>
        </w:tc>
      </w:tr>
      <w:tr w:rsidR="00FB7896" w:rsidRPr="00E31A6B" w14:paraId="65FF90CD" w14:textId="77777777" w:rsidTr="613CB4D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FB7896" w:rsidRDefault="00FB7896" w:rsidP="00FB78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FB7896" w:rsidRPr="00582090" w:rsidRDefault="00FB7896" w:rsidP="00FB78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62077952" w:rsidR="00FB7896" w:rsidRPr="00582090" w:rsidRDefault="00FB7896" w:rsidP="00FB78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62C">
              <w:rPr>
                <w:rFonts w:cs="Arial"/>
                <w:sz w:val="16"/>
                <w:szCs w:val="16"/>
              </w:rPr>
              <w:t>Podstawowa wiedza i umiejętności z zakresu: chemii ogólnej i organicznej, biologii komórki zwierzęcej, genetyki</w:t>
            </w:r>
          </w:p>
        </w:tc>
      </w:tr>
      <w:tr w:rsidR="00AE32F4" w:rsidRPr="00860289" w14:paraId="17875BE1" w14:textId="77777777" w:rsidTr="613CB4D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B7896" w:rsidRPr="00860289" w14:paraId="4388C59C" w14:textId="77777777" w:rsidTr="0014339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FB7896" w:rsidRDefault="00FB7896" w:rsidP="00FB789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FB7896" w:rsidRPr="007156FC" w:rsidRDefault="00FB7896" w:rsidP="00FB789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FB7896" w:rsidRPr="00453D61" w:rsidRDefault="00FB7896" w:rsidP="00FB78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9B" w14:textId="27E2396E" w:rsidR="00FB7896" w:rsidRPr="00453D61" w:rsidRDefault="613CB4DA" w:rsidP="613CB4D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13CB4DA">
              <w:rPr>
                <w:sz w:val="16"/>
                <w:szCs w:val="16"/>
              </w:rPr>
              <w:t>fizjologiczne podstawy funkcjonowania drobnoustrojów i ich rolę w różnych ekosystemach, wzajemne powiązania występujące pomiędzy mikroorganizmami a środowiskiem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131" w14:textId="77777777" w:rsidR="00FB7896" w:rsidRPr="00860289" w:rsidRDefault="00FB7896" w:rsidP="00FB789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FB7896" w:rsidRPr="00860289" w:rsidRDefault="00FB7896" w:rsidP="00FB789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B7896" w:rsidRPr="00860289" w14:paraId="78463F6F" w14:textId="77777777" w:rsidTr="0014339F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53128261" w14:textId="77777777" w:rsidR="00FB7896" w:rsidRPr="00453D61" w:rsidRDefault="00FB7896" w:rsidP="00FB78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FB7896" w:rsidRPr="00453D61" w:rsidRDefault="00FB7896" w:rsidP="00FB78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C73" w14:textId="389954CD" w:rsidR="00FB7896" w:rsidRPr="00453D61" w:rsidRDefault="613CB4DA" w:rsidP="613CB4D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13CB4DA">
              <w:rPr>
                <w:sz w:val="16"/>
                <w:szCs w:val="16"/>
              </w:rPr>
              <w:t>naturę czynników zakaźnych, patogenezę chorób zakaźnych, źródła i rezerwuary patogenów  zjawiska składające się na zakażenie i chorobę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B75" w14:textId="77777777" w:rsidR="00FB7896" w:rsidRPr="00860289" w:rsidRDefault="00FB7896" w:rsidP="00FB789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FB7896" w:rsidRPr="00860289" w:rsidRDefault="00FB7896" w:rsidP="00FB789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B7896" w:rsidRPr="00860289" w14:paraId="64530129" w14:textId="77777777" w:rsidTr="0014339F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FB7896" w:rsidRPr="00453D61" w:rsidRDefault="00FB7896" w:rsidP="00FB78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0ED8" w14:textId="77777777" w:rsidR="00FB7896" w:rsidRDefault="00FB7896" w:rsidP="00FB78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DDA" w14:textId="6D57012E" w:rsidR="00FB7896" w:rsidRPr="00453D61" w:rsidRDefault="613CB4DA" w:rsidP="00FB789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613CB4DA">
              <w:rPr>
                <w:sz w:val="16"/>
                <w:szCs w:val="16"/>
              </w:rPr>
              <w:t>molekularne podstawy zjadliwości drobnoustrojów, transformacji pionowej i poziomej wśród bakterii oraz „dialogu” pomiędzy mikro- i makroorganizmami,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E0E" w14:textId="77777777" w:rsidR="00FB7896" w:rsidRPr="00860289" w:rsidRDefault="00FB7896" w:rsidP="00FB789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FB7896" w:rsidRPr="00860289" w:rsidRDefault="00FB7896" w:rsidP="00FB789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14:paraId="4101652C" w14:textId="77777777" w:rsidTr="613CB4DA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C43A" w14:textId="032658F1" w:rsidR="00074021" w:rsidRDefault="613CB4DA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13CB4DA"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4ABFE8A0" w:rsidR="00074021" w:rsidRPr="00453D61" w:rsidRDefault="613CB4DA" w:rsidP="613CB4DA">
            <w:pPr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613CB4DA">
              <w:rPr>
                <w:rFonts w:ascii="Calibri" w:eastAsia="Calibri" w:hAnsi="Calibri" w:cs="Calibri"/>
                <w:sz w:val="16"/>
                <w:szCs w:val="16"/>
              </w:rPr>
              <w:t>Zna zasady i techniki pracy w laboratorium mikrobiologicznym, metody stosowane w identyfikacji mikroorganizmów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152A2" w:rsidRPr="00860289" w14:paraId="3F6157BA" w14:textId="77777777" w:rsidTr="0014339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B152A2" w:rsidRDefault="00B152A2" w:rsidP="00B152A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B152A2" w:rsidRPr="007156FC" w:rsidRDefault="00B152A2" w:rsidP="00B152A2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0FB78278" w14:textId="77777777" w:rsidR="00B152A2" w:rsidRPr="00453D61" w:rsidRDefault="00B152A2" w:rsidP="00B152A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B152A2" w:rsidRPr="00453D61" w:rsidRDefault="00B152A2" w:rsidP="00B152A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57B" w14:textId="58285355" w:rsidR="00B152A2" w:rsidRPr="00453D61" w:rsidRDefault="613CB4DA" w:rsidP="00B152A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613CB4DA">
              <w:rPr>
                <w:sz w:val="16"/>
                <w:szCs w:val="16"/>
              </w:rPr>
              <w:t xml:space="preserve"> izolować  czynniki zakaźne, charakteryzować mikroskopowo, makroskopowo i biochemicznie wyhodowane drobnoustroje, oznaczać </w:t>
            </w:r>
            <w:proofErr w:type="spellStart"/>
            <w:r w:rsidRPr="613CB4DA">
              <w:rPr>
                <w:sz w:val="16"/>
                <w:szCs w:val="16"/>
              </w:rPr>
              <w:t>lekowrażliwość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8F7" w14:textId="77777777" w:rsidR="00B152A2" w:rsidRPr="00860289" w:rsidRDefault="00B152A2" w:rsidP="00B152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K_U10, K_U04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D21" w14:textId="77777777" w:rsidR="00B152A2" w:rsidRPr="00860289" w:rsidRDefault="00B152A2" w:rsidP="00B152A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2, 2</w:t>
            </w:r>
          </w:p>
        </w:tc>
      </w:tr>
      <w:tr w:rsidR="00B152A2" w:rsidRPr="00860289" w14:paraId="686B51A8" w14:textId="77777777" w:rsidTr="0014339F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FC39945" w14:textId="77777777" w:rsidR="00B152A2" w:rsidRPr="00453D61" w:rsidRDefault="00B152A2" w:rsidP="00B152A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B152A2" w:rsidRPr="00453D61" w:rsidRDefault="00B152A2" w:rsidP="00B152A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B99" w14:textId="0BA4AB60" w:rsidR="00B152A2" w:rsidRPr="00453D61" w:rsidRDefault="613CB4DA" w:rsidP="0014339F">
            <w:pPr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613CB4DA">
              <w:rPr>
                <w:rFonts w:ascii="Calibri" w:eastAsia="Calibri" w:hAnsi="Calibri" w:cs="Calibri"/>
                <w:sz w:val="16"/>
                <w:szCs w:val="16"/>
              </w:rPr>
              <w:t>Interpretować wyniki badań mikrobiologicznych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72B" w14:textId="77777777" w:rsidR="00B152A2" w:rsidRPr="00860289" w:rsidRDefault="00B152A2" w:rsidP="00B152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K_U16, K_U09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736" w14:textId="77777777" w:rsidR="00B152A2" w:rsidRPr="00860289" w:rsidRDefault="00B152A2" w:rsidP="00B152A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2, 2</w:t>
            </w:r>
          </w:p>
        </w:tc>
      </w:tr>
      <w:tr w:rsidR="00074021" w:rsidRPr="00860289" w14:paraId="0562CB0E" w14:textId="77777777" w:rsidTr="613CB4DA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E0A41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110FFD37" w14:textId="77777777" w:rsidTr="613CB4DA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9379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7896" w:rsidRPr="00860289" w14:paraId="2E24CE11" w14:textId="77777777" w:rsidTr="0014339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FB7896" w:rsidRDefault="00FB7896" w:rsidP="00FB789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lastRenderedPageBreak/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FB7896" w:rsidRPr="00453D61" w:rsidRDefault="00FB7896" w:rsidP="00FB789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BB9E253" w14:textId="77777777" w:rsidR="00FB7896" w:rsidRPr="00453D61" w:rsidRDefault="00FB7896" w:rsidP="00FB78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FB7896" w:rsidRPr="00453D61" w:rsidRDefault="00FB7896" w:rsidP="00FB78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588" w14:textId="1E11D2A0" w:rsidR="00FB7896" w:rsidRPr="00453D61" w:rsidRDefault="613CB4DA" w:rsidP="00FB78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613CB4DA">
              <w:rPr>
                <w:sz w:val="16"/>
                <w:szCs w:val="16"/>
              </w:rPr>
              <w:t xml:space="preserve"> stosowania podstawowych zasad bezpiecznej pracy w laboratorium z czynnikami zakaźnymi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A12" w14:textId="77777777" w:rsidR="00FB7896" w:rsidRPr="00860289" w:rsidRDefault="00FB7896" w:rsidP="00FB789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K_K05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FB7896" w:rsidRPr="00860289" w:rsidRDefault="00FB7896" w:rsidP="00FB789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74021" w:rsidRPr="00860289" w14:paraId="380DC2C0" w14:textId="77777777" w:rsidTr="613CB4DA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23DE523C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07459315" w14:textId="77777777" w:rsidTr="613CB4DA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71BC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5D23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738610EB" w14:textId="77777777" w:rsidTr="613CB4DA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5D2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E7C3D" w14:paraId="7E96A9A5" w14:textId="77777777" w:rsidTr="0014339F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616" w14:textId="77777777" w:rsidR="00FE7C3D" w:rsidRPr="00582090" w:rsidRDefault="00FE7C3D" w:rsidP="00FE7C3D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FE7C3D" w:rsidRPr="009E71F1" w:rsidRDefault="00FE7C3D" w:rsidP="00FE7C3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E7C3D" w14:paraId="41DC492D" w14:textId="77777777" w:rsidTr="0014339F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FE7C3D" w:rsidRPr="00582090" w:rsidRDefault="00FE7C3D" w:rsidP="00FE7C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EE7" w14:textId="77777777" w:rsidR="00FE7C3D" w:rsidRDefault="00FE7C3D" w:rsidP="00FE7C3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kolokwium </w:t>
            </w:r>
            <w:r>
              <w:rPr>
                <w:rFonts w:cs="Calibri"/>
                <w:sz w:val="16"/>
                <w:szCs w:val="16"/>
              </w:rPr>
              <w:t>obejmujące zag</w:t>
            </w:r>
            <w:r w:rsidRPr="003C362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dnieni</w:t>
            </w:r>
            <w:r w:rsidRPr="003C362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ćwic</w:t>
            </w:r>
            <w:r>
              <w:rPr>
                <w:rFonts w:cs="Calibri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eń</w:t>
            </w:r>
          </w:p>
          <w:p w14:paraId="54D31927" w14:textId="77777777" w:rsidR="00FE7C3D" w:rsidRDefault="00FE7C3D" w:rsidP="00FE7C3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egzamin końcowy pisemny</w:t>
            </w:r>
          </w:p>
          <w:p w14:paraId="2BA226A1" w14:textId="77777777" w:rsidR="00FE7C3D" w:rsidRDefault="00FE7C3D" w:rsidP="00FE7C3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2E1548F" w14:textId="77777777" w:rsidR="00FE7C3D" w:rsidRDefault="00FE7C3D" w:rsidP="00FE7C3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kolokwium oraz egzaminu końcowego przewiduje się jeden termin poprawkowy.</w:t>
            </w:r>
          </w:p>
          <w:p w14:paraId="761AECA4" w14:textId="77777777" w:rsidR="00FE7C3D" w:rsidRPr="009E71F1" w:rsidRDefault="00FE7C3D" w:rsidP="00FE7C3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83D74">
              <w:rPr>
                <w:rFonts w:cs="Calibri"/>
                <w:sz w:val="16"/>
                <w:szCs w:val="16"/>
              </w:rPr>
              <w:t>W sytuacji odgórnego zawieszenie realizacji zajęć w Uczelni i konieczności nauczania zdalnego, dopuszcza się inne metody weryfikacji realizowanych efektów uczenia w sposób adekwatny do sytuacji.</w:t>
            </w:r>
          </w:p>
        </w:tc>
      </w:tr>
      <w:tr w:rsidR="00FE7C3D" w14:paraId="1D776203" w14:textId="77777777" w:rsidTr="613CB4DA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FE7C3D" w:rsidRPr="00582090" w:rsidRDefault="00FE7C3D" w:rsidP="00FE7C3D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00883BD0" w14:textId="77777777" w:rsidR="00FE7C3D" w:rsidRPr="009E71F1" w:rsidRDefault="00FE7C3D" w:rsidP="00FE7C3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Wpis do systemu eHMS, </w:t>
            </w:r>
            <w:r w:rsidRPr="000D0AAF">
              <w:rPr>
                <w:rFonts w:cs="Calibri"/>
                <w:sz w:val="16"/>
                <w:szCs w:val="16"/>
              </w:rPr>
              <w:t xml:space="preserve"> </w:t>
            </w:r>
            <w:r w:rsidRPr="00F83D74">
              <w:rPr>
                <w:rFonts w:cs="Calibri"/>
                <w:sz w:val="16"/>
                <w:szCs w:val="16"/>
              </w:rPr>
              <w:t xml:space="preserve">pula pytań </w:t>
            </w:r>
            <w:r>
              <w:rPr>
                <w:rFonts w:cs="Calibri"/>
                <w:sz w:val="16"/>
                <w:szCs w:val="16"/>
              </w:rPr>
              <w:t>z kolokwium i egzaminu</w:t>
            </w:r>
            <w:r w:rsidRPr="00F83D74">
              <w:rPr>
                <w:rFonts w:cs="Calibri"/>
                <w:sz w:val="16"/>
                <w:szCs w:val="16"/>
              </w:rPr>
              <w:t>, prace pisemne studentów</w:t>
            </w:r>
          </w:p>
        </w:tc>
      </w:tr>
      <w:tr w:rsidR="00FE7C3D" w14:paraId="50A5E709" w14:textId="77777777" w:rsidTr="613CB4DA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FE7C3D" w:rsidRDefault="00FE7C3D" w:rsidP="00FE7C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FE7C3D" w:rsidRPr="00582090" w:rsidRDefault="00FE7C3D" w:rsidP="00FE7C3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A6DFDA0" w14:textId="77777777" w:rsidR="00FE7C3D" w:rsidRPr="00FE7C3D" w:rsidRDefault="00FE7C3D" w:rsidP="00FE7C3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E7C3D">
              <w:rPr>
                <w:rFonts w:ascii="Calibri" w:eastAsia="Calibri" w:hAnsi="Calibri" w:cs="Times New Roman"/>
                <w:sz w:val="16"/>
                <w:szCs w:val="16"/>
              </w:rPr>
              <w:t>Warunkiem przystąpienia do egzaminu końcowego jest uzyskanie przez studenta minimum 51% punktów ze sprawdzianu z ćwiczeń.</w:t>
            </w:r>
          </w:p>
          <w:p w14:paraId="1A84BB55" w14:textId="77777777" w:rsidR="00FE7C3D" w:rsidRPr="00FE7C3D" w:rsidRDefault="00FE7C3D" w:rsidP="00FE7C3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E7C3D">
              <w:rPr>
                <w:rFonts w:ascii="Calibri" w:eastAsia="Calibri" w:hAnsi="Calibri" w:cs="Times New Roman"/>
                <w:sz w:val="16"/>
                <w:szCs w:val="16"/>
              </w:rPr>
              <w:t>Ocena końcowa z przedmiotu Biologia mikroorganizmów to średnia arytmetyczna z:</w:t>
            </w:r>
          </w:p>
          <w:p w14:paraId="6DE00609" w14:textId="77777777" w:rsidR="00FE7C3D" w:rsidRPr="00FE7C3D" w:rsidRDefault="00FE7C3D" w:rsidP="00FE7C3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E7C3D">
              <w:rPr>
                <w:rFonts w:ascii="Calibri" w:eastAsia="Calibri" w:hAnsi="Calibri" w:cs="Times New Roman"/>
                <w:sz w:val="16"/>
                <w:szCs w:val="16"/>
              </w:rPr>
              <w:t>- zaliczenia pisemnego z ćwiczeń - 50%</w:t>
            </w:r>
          </w:p>
          <w:p w14:paraId="31750CF9" w14:textId="77777777" w:rsidR="00FE7C3D" w:rsidRPr="00FE7C3D" w:rsidRDefault="00FE7C3D" w:rsidP="00FE7C3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E7C3D">
              <w:rPr>
                <w:rFonts w:ascii="Calibri" w:eastAsia="Calibri" w:hAnsi="Calibri" w:cs="Times New Roman"/>
                <w:sz w:val="16"/>
                <w:szCs w:val="16"/>
              </w:rPr>
              <w:t>- egzaminu pisemnego - 50%</w:t>
            </w:r>
          </w:p>
          <w:p w14:paraId="17AD93B2" w14:textId="77777777" w:rsidR="00FE7C3D" w:rsidRPr="00FE7C3D" w:rsidRDefault="00FE7C3D" w:rsidP="00FE7C3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tbl>
            <w:tblPr>
              <w:tblW w:w="3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1607"/>
            </w:tblGrid>
            <w:tr w:rsidR="00FE7C3D" w:rsidRPr="00FE7C3D" w14:paraId="7143A41E" w14:textId="77777777" w:rsidTr="613CB4DA">
              <w:tc>
                <w:tcPr>
                  <w:tcW w:w="1607" w:type="dxa"/>
                  <w:shd w:val="clear" w:color="auto" w:fill="auto"/>
                </w:tcPr>
                <w:p w14:paraId="0DE4B5B7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8"/>
                      <w:szCs w:val="8"/>
                    </w:rPr>
                  </w:pPr>
                </w:p>
                <w:p w14:paraId="3330602B" w14:textId="2CCA096F" w:rsidR="00FE7C3D" w:rsidRPr="00FE7C3D" w:rsidRDefault="613CB4DA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613CB4D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Średnia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40111CEA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Ocena końcowa z przedmiotu</w:t>
                  </w:r>
                </w:p>
              </w:tc>
            </w:tr>
            <w:tr w:rsidR="00FE7C3D" w:rsidRPr="00FE7C3D" w14:paraId="35AC6FF1" w14:textId="77777777" w:rsidTr="613CB4DA">
              <w:tc>
                <w:tcPr>
                  <w:tcW w:w="1607" w:type="dxa"/>
                  <w:shd w:val="clear" w:color="auto" w:fill="auto"/>
                </w:tcPr>
                <w:p w14:paraId="66C571B2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4.75-5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78941E47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FE7C3D" w:rsidRPr="00FE7C3D" w14:paraId="1878E81D" w14:textId="77777777" w:rsidTr="613CB4DA">
              <w:tc>
                <w:tcPr>
                  <w:tcW w:w="1607" w:type="dxa"/>
                  <w:shd w:val="clear" w:color="auto" w:fill="auto"/>
                </w:tcPr>
                <w:p w14:paraId="3C91C82C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4.25-4.5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07C16953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4,5</w:t>
                  </w:r>
                </w:p>
              </w:tc>
            </w:tr>
            <w:tr w:rsidR="00FE7C3D" w:rsidRPr="00FE7C3D" w14:paraId="18EE5DF3" w14:textId="77777777" w:rsidTr="613CB4DA">
              <w:tc>
                <w:tcPr>
                  <w:tcW w:w="1607" w:type="dxa"/>
                  <w:shd w:val="clear" w:color="auto" w:fill="auto"/>
                </w:tcPr>
                <w:p w14:paraId="750ED8FD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3.75-4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2598DEE6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FE7C3D" w:rsidRPr="00FE7C3D" w14:paraId="37EA2233" w14:textId="77777777" w:rsidTr="613CB4DA">
              <w:tc>
                <w:tcPr>
                  <w:tcW w:w="1607" w:type="dxa"/>
                  <w:shd w:val="clear" w:color="auto" w:fill="auto"/>
                </w:tcPr>
                <w:p w14:paraId="7A0BE261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3.25-3.5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14D92B74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3,5</w:t>
                  </w:r>
                </w:p>
              </w:tc>
            </w:tr>
            <w:tr w:rsidR="00FE7C3D" w:rsidRPr="00FE7C3D" w14:paraId="7CE58F48" w14:textId="77777777" w:rsidTr="613CB4DA">
              <w:tc>
                <w:tcPr>
                  <w:tcW w:w="1607" w:type="dxa"/>
                  <w:shd w:val="clear" w:color="auto" w:fill="auto"/>
                </w:tcPr>
                <w:p w14:paraId="0B778152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7A036E3D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FE7C3D" w:rsidRPr="00FE7C3D" w14:paraId="44C26413" w14:textId="77777777" w:rsidTr="613CB4DA">
              <w:tc>
                <w:tcPr>
                  <w:tcW w:w="1607" w:type="dxa"/>
                  <w:shd w:val="clear" w:color="auto" w:fill="auto"/>
                </w:tcPr>
                <w:p w14:paraId="7842F596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2CC21B90" w14:textId="77777777" w:rsidR="00FE7C3D" w:rsidRPr="00FE7C3D" w:rsidRDefault="00FE7C3D" w:rsidP="0014339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FE7C3D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66204FF1" w14:textId="77777777" w:rsidR="00FE7C3D" w:rsidRPr="009E71F1" w:rsidRDefault="00FE7C3D" w:rsidP="00FE7C3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B3120" w14:paraId="22FB9E78" w14:textId="77777777" w:rsidTr="0014339F">
        <w:trPr>
          <w:trHeight w:val="34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EEC4" w14:textId="77777777" w:rsidR="00CB3120" w:rsidRPr="00582090" w:rsidRDefault="00CB3120" w:rsidP="00CB312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187" w14:textId="77777777" w:rsidR="00CB3120" w:rsidRPr="009E71F1" w:rsidRDefault="00CB3120" w:rsidP="00CB312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62C">
              <w:rPr>
                <w:rFonts w:cs="Arial"/>
                <w:sz w:val="16"/>
                <w:szCs w:val="16"/>
              </w:rPr>
              <w:t>Sale laboratoryjne i wykładowe Katedry Nauk Przedklinicznych, Wydz. Medycyny Weterynaryjnej SGGW</w:t>
            </w:r>
          </w:p>
        </w:tc>
      </w:tr>
      <w:tr w:rsidR="00CB3120" w14:paraId="2A62096B" w14:textId="77777777" w:rsidTr="613CB4DA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CB3120" w:rsidRPr="004F07EF" w:rsidRDefault="00CB3120" w:rsidP="00CB3120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2943CBFC" w14:textId="77777777" w:rsidR="00CB3120" w:rsidRPr="003C362C" w:rsidRDefault="00CB3120" w:rsidP="00CB312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3C362C">
              <w:rPr>
                <w:rFonts w:cs="Arial"/>
                <w:sz w:val="16"/>
                <w:szCs w:val="16"/>
              </w:rPr>
              <w:t xml:space="preserve">Malicki K., Binek M.: Zarys Klinicznej Bakteriologii Weterynaryjnej, tom I </w:t>
            </w:r>
            <w:proofErr w:type="spellStart"/>
            <w:r w:rsidRPr="003C362C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3C362C">
              <w:rPr>
                <w:rFonts w:cs="Arial"/>
                <w:sz w:val="16"/>
                <w:szCs w:val="16"/>
              </w:rPr>
              <w:t xml:space="preserve"> II, Wyd. </w:t>
            </w:r>
            <w:r w:rsidRPr="003C362C">
              <w:rPr>
                <w:rFonts w:cs="Arial"/>
                <w:sz w:val="16"/>
                <w:szCs w:val="16"/>
                <w:lang w:val="en-US"/>
              </w:rPr>
              <w:t>SGGW, 2004.</w:t>
            </w:r>
          </w:p>
          <w:p w14:paraId="043B01B8" w14:textId="5E181CD8" w:rsidR="00CB3120" w:rsidRDefault="613CB4DA" w:rsidP="00CB312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613CB4DA">
              <w:rPr>
                <w:rFonts w:cs="Arial"/>
                <w:sz w:val="16"/>
                <w:szCs w:val="16"/>
                <w:lang w:val="en-US"/>
              </w:rPr>
              <w:t xml:space="preserve">Salyers A.A., Whitt D.D. :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Mikrobiologia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Różnorodność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chorobotwórczość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środowisko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Wydawnictwo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Naukowe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PWN, Warszawa, 2005.</w:t>
            </w:r>
          </w:p>
          <w:p w14:paraId="1275762D" w14:textId="5D939160" w:rsidR="00CB3120" w:rsidRDefault="613CB4DA" w:rsidP="00CB312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Baj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J.: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Mikrobiologia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Wydawnictwo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PWN, 2018 </w:t>
            </w:r>
          </w:p>
          <w:p w14:paraId="370E4CCC" w14:textId="77777777" w:rsidR="00CB3120" w:rsidRPr="003C362C" w:rsidRDefault="00CB3120" w:rsidP="00CB312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3C362C">
              <w:rPr>
                <w:rFonts w:cs="Arial"/>
                <w:sz w:val="16"/>
                <w:szCs w:val="16"/>
                <w:lang w:val="en-US"/>
              </w:rPr>
              <w:t xml:space="preserve">Quinn P.J., Markey B.K.,. Carter M.E,. </w:t>
            </w:r>
            <w:proofErr w:type="spellStart"/>
            <w:r w:rsidRPr="003C362C">
              <w:rPr>
                <w:rFonts w:cs="Arial"/>
                <w:sz w:val="16"/>
                <w:szCs w:val="16"/>
                <w:lang w:val="en-US"/>
              </w:rPr>
              <w:t>Donelly</w:t>
            </w:r>
            <w:proofErr w:type="spellEnd"/>
            <w:r w:rsidRPr="003C362C">
              <w:rPr>
                <w:rFonts w:cs="Arial"/>
                <w:sz w:val="16"/>
                <w:szCs w:val="16"/>
                <w:lang w:val="en-US"/>
              </w:rPr>
              <w:t xml:space="preserve"> W.J, Leonard F.C.: Veterinary Microbiology and Microbial Disease , Blackwell Publishing, 2002. </w:t>
            </w:r>
          </w:p>
          <w:p w14:paraId="5A338C47" w14:textId="77777777" w:rsidR="00CB3120" w:rsidRPr="003C362C" w:rsidRDefault="613CB4DA" w:rsidP="00CB312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Songer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G.J., Post K.W.: Veterinary microbiology: bacterial and fungal agents of animal disease, Elsevier, 2005.</w:t>
            </w:r>
          </w:p>
          <w:p w14:paraId="2DBF0D7D" w14:textId="5187E4CB" w:rsidR="00CB3120" w:rsidRPr="00582090" w:rsidRDefault="613CB4DA" w:rsidP="00CB312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Gyles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C.L., Prescott J.F.,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Songer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J.G.,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Thoen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613CB4DA">
              <w:rPr>
                <w:rFonts w:cs="Arial"/>
                <w:sz w:val="16"/>
                <w:szCs w:val="16"/>
                <w:lang w:val="en-US"/>
              </w:rPr>
              <w:t>Ch.o</w:t>
            </w:r>
            <w:proofErr w:type="spellEnd"/>
            <w:r w:rsidRPr="613CB4DA">
              <w:rPr>
                <w:rFonts w:cs="Arial"/>
                <w:sz w:val="16"/>
                <w:szCs w:val="16"/>
                <w:lang w:val="en-US"/>
              </w:rPr>
              <w:t xml:space="preserve">.: Pathogenesis of bacterial infections in animals. </w:t>
            </w:r>
            <w:proofErr w:type="spellStart"/>
            <w:r w:rsidRPr="613CB4DA">
              <w:rPr>
                <w:rFonts w:cs="Arial"/>
                <w:sz w:val="16"/>
                <w:szCs w:val="16"/>
              </w:rPr>
              <w:t>Wiley-Blackwell</w:t>
            </w:r>
            <w:proofErr w:type="spellEnd"/>
            <w:r w:rsidRPr="613CB4DA">
              <w:rPr>
                <w:rFonts w:cs="Arial"/>
                <w:sz w:val="16"/>
                <w:szCs w:val="16"/>
              </w:rPr>
              <w:t xml:space="preserve">, 20Dworecka-Kaszak B.: Mikologia weterynaryjna, </w:t>
            </w:r>
            <w:proofErr w:type="spellStart"/>
            <w:r w:rsidRPr="613CB4DA">
              <w:rPr>
                <w:rFonts w:cs="Arial"/>
                <w:sz w:val="16"/>
                <w:szCs w:val="16"/>
              </w:rPr>
              <w:t>Wyd.SGGW</w:t>
            </w:r>
            <w:proofErr w:type="spellEnd"/>
            <w:r w:rsidRPr="613CB4DA">
              <w:rPr>
                <w:rFonts w:cs="Arial"/>
                <w:sz w:val="16"/>
                <w:szCs w:val="16"/>
              </w:rPr>
              <w:t>, 2008</w:t>
            </w:r>
          </w:p>
        </w:tc>
      </w:tr>
      <w:tr w:rsidR="00CB3120" w14:paraId="14B14E7F" w14:textId="77777777" w:rsidTr="613CB4DA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CB3120" w:rsidRDefault="00CB3120" w:rsidP="00CB312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B62F1B3" w14:textId="77777777" w:rsidR="00CB3120" w:rsidRPr="00701DD3" w:rsidRDefault="00CB3120" w:rsidP="00CB3120">
            <w:pPr>
              <w:spacing w:line="240" w:lineRule="auto"/>
              <w:rPr>
                <w:sz w:val="20"/>
                <w:szCs w:val="20"/>
              </w:rPr>
            </w:pPr>
          </w:p>
          <w:p w14:paraId="02F2C34E" w14:textId="77777777" w:rsidR="00CB3120" w:rsidRPr="00701DD3" w:rsidRDefault="00CB3120" w:rsidP="00CB3120">
            <w:pPr>
              <w:spacing w:line="240" w:lineRule="auto"/>
              <w:rPr>
                <w:sz w:val="20"/>
                <w:szCs w:val="20"/>
              </w:rPr>
            </w:pPr>
          </w:p>
          <w:p w14:paraId="680A4E5D" w14:textId="77777777" w:rsidR="00CB3120" w:rsidRPr="00582090" w:rsidRDefault="00CB3120" w:rsidP="00CB312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9219836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D47E2A2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1231BAC" w14:textId="65611D68" w:rsidR="00ED11F9" w:rsidRPr="00074021" w:rsidRDefault="00CB3120" w:rsidP="0014339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59F47D1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9F3E981" w14:textId="59B1FA9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CB3120">
              <w:rPr>
                <w:sz w:val="16"/>
                <w:szCs w:val="16"/>
              </w:rPr>
              <w:t>1,5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296FEF7D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4150" w14:textId="77777777" w:rsidR="002D4378" w:rsidRDefault="002D4378" w:rsidP="002C0CA5">
      <w:pPr>
        <w:spacing w:line="240" w:lineRule="auto"/>
      </w:pPr>
      <w:r>
        <w:separator/>
      </w:r>
    </w:p>
  </w:endnote>
  <w:endnote w:type="continuationSeparator" w:id="0">
    <w:p w14:paraId="496B3AC9" w14:textId="77777777" w:rsidR="002D4378" w:rsidRDefault="002D437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939A" w14:textId="77777777" w:rsidR="002D4378" w:rsidRDefault="002D4378" w:rsidP="002C0CA5">
      <w:pPr>
        <w:spacing w:line="240" w:lineRule="auto"/>
      </w:pPr>
      <w:r>
        <w:separator/>
      </w:r>
    </w:p>
  </w:footnote>
  <w:footnote w:type="continuationSeparator" w:id="0">
    <w:p w14:paraId="6E700CE4" w14:textId="77777777" w:rsidR="002D4378" w:rsidRDefault="002D437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8D11A5"/>
    <w:multiLevelType w:val="hybridMultilevel"/>
    <w:tmpl w:val="2F02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4339F"/>
    <w:rsid w:val="00191EAB"/>
    <w:rsid w:val="001A6062"/>
    <w:rsid w:val="00207BBF"/>
    <w:rsid w:val="00250C79"/>
    <w:rsid w:val="002769D3"/>
    <w:rsid w:val="002C0CA5"/>
    <w:rsid w:val="002D4378"/>
    <w:rsid w:val="002E6EBF"/>
    <w:rsid w:val="00316977"/>
    <w:rsid w:val="00341D25"/>
    <w:rsid w:val="0036131B"/>
    <w:rsid w:val="003B680D"/>
    <w:rsid w:val="00444161"/>
    <w:rsid w:val="0049279A"/>
    <w:rsid w:val="004F5168"/>
    <w:rsid w:val="005D441E"/>
    <w:rsid w:val="006674DC"/>
    <w:rsid w:val="006A3B68"/>
    <w:rsid w:val="006C452D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9F5BE8"/>
    <w:rsid w:val="00A15E4F"/>
    <w:rsid w:val="00A17C4E"/>
    <w:rsid w:val="00A43564"/>
    <w:rsid w:val="00A7092D"/>
    <w:rsid w:val="00A77DEE"/>
    <w:rsid w:val="00AB0DC9"/>
    <w:rsid w:val="00AE32F4"/>
    <w:rsid w:val="00B152A2"/>
    <w:rsid w:val="00B2721F"/>
    <w:rsid w:val="00B7087F"/>
    <w:rsid w:val="00B91288"/>
    <w:rsid w:val="00BA7622"/>
    <w:rsid w:val="00BB571A"/>
    <w:rsid w:val="00C92B42"/>
    <w:rsid w:val="00CB3120"/>
    <w:rsid w:val="00CD0414"/>
    <w:rsid w:val="00D10B7D"/>
    <w:rsid w:val="00D20965"/>
    <w:rsid w:val="00E108C9"/>
    <w:rsid w:val="00ED11F9"/>
    <w:rsid w:val="00EE4F54"/>
    <w:rsid w:val="00F17173"/>
    <w:rsid w:val="00F658EC"/>
    <w:rsid w:val="00FB2DB7"/>
    <w:rsid w:val="00FB7896"/>
    <w:rsid w:val="00FE7C3D"/>
    <w:rsid w:val="613CB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699B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6755</Characters>
  <Application>Microsoft Office Word</Application>
  <DocSecurity>0</DocSecurity>
  <Lines>56</Lines>
  <Paragraphs>15</Paragraphs>
  <ScaleCrop>false</ScaleCrop>
  <Company>Microsoft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11</cp:revision>
  <cp:lastPrinted>2019-03-18T08:34:00Z</cp:lastPrinted>
  <dcterms:created xsi:type="dcterms:W3CDTF">2022-04-12T11:14:00Z</dcterms:created>
  <dcterms:modified xsi:type="dcterms:W3CDTF">2022-10-17T12:50:00Z</dcterms:modified>
</cp:coreProperties>
</file>