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577B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07C0CA82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FBF4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691BF3" w14:textId="77777777" w:rsidR="00CD0414" w:rsidRPr="003949F0" w:rsidRDefault="0022491B" w:rsidP="00417454">
            <w:pPr>
              <w:spacing w:line="240" w:lineRule="auto"/>
              <w:rPr>
                <w:sz w:val="20"/>
                <w:szCs w:val="20"/>
              </w:rPr>
            </w:pPr>
            <w:r w:rsidRPr="0022491B">
              <w:rPr>
                <w:sz w:val="20"/>
                <w:szCs w:val="20"/>
              </w:rPr>
              <w:t>Intensywne systemy w produkcji zwierzęcej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61EC02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A7BB14" w14:textId="77777777" w:rsidR="00CD0414" w:rsidRPr="003A2588" w:rsidRDefault="0022491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CD0414" w14:paraId="3511429E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258158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5BDFD593" w14:textId="77777777" w:rsidR="00CD0414" w:rsidRPr="00582090" w:rsidRDefault="008D7450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>Intensive animal production systems</w:t>
            </w:r>
          </w:p>
        </w:tc>
      </w:tr>
      <w:tr w:rsidR="00CD0414" w14:paraId="6CDB87F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235758C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B6703" w14:textId="77777777" w:rsidR="00CD0414" w:rsidRPr="00582090" w:rsidRDefault="00790BA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14:paraId="20910139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C49E7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BF2DE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91622AD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E8A1A0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D609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C0AA5F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54ED0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09F0D315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3D075D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03D53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2A4D5805" w14:textId="77777777"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368600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BFAFD0" w14:textId="77777777" w:rsidR="006C766B" w:rsidRPr="00CD0414" w:rsidRDefault="007E4F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56C89FE5" w14:textId="77777777" w:rsidR="00CD0414" w:rsidRPr="00CD0414" w:rsidRDefault="007E4F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AEC28" w14:textId="77777777" w:rsidR="006C766B" w:rsidRPr="00CD0414" w:rsidRDefault="007A453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5D329DCF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DD01E3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21F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E9E4CB0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7A4534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379985BE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DE899E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526D0E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E994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A7DBF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7037F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DE366" w14:textId="77777777" w:rsidR="00CD0414" w:rsidRPr="006C766B" w:rsidRDefault="00F76E9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sz w:val="16"/>
                <w:szCs w:val="16"/>
                <w:lang w:eastAsia="ja-JP"/>
              </w:rPr>
              <w:t>WHBIOZ-ZT-2Z-02L-02</w:t>
            </w: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_21</w:t>
            </w:r>
          </w:p>
        </w:tc>
      </w:tr>
      <w:tr w:rsidR="00ED11F9" w:rsidRPr="00CD0414" w14:paraId="525CA662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C91A8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1A79275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767DAF6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7F5A4" w14:textId="77777777" w:rsidR="00ED11F9" w:rsidRPr="007D736E" w:rsidRDefault="008D745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Jan Slósarz</w:t>
            </w:r>
          </w:p>
        </w:tc>
      </w:tr>
      <w:tr w:rsidR="00ED11F9" w:rsidRPr="00F3073B" w14:paraId="2549AD3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4AA7256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1334C" w14:textId="23F95F84" w:rsidR="00ED11F9" w:rsidRPr="008665C7" w:rsidRDefault="00EC658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Justyna Więcek</w:t>
            </w:r>
            <w:r w:rsidR="008812B7" w:rsidRPr="008665C7">
              <w:rPr>
                <w:b/>
                <w:bCs/>
                <w:sz w:val="16"/>
                <w:szCs w:val="16"/>
              </w:rPr>
              <w:t>,</w:t>
            </w:r>
            <w:r w:rsidR="00F3073B" w:rsidRPr="008665C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dr hab. Marcin Gołębiewski, prof. SGGW</w:t>
            </w:r>
            <w:r w:rsidR="00F3073B" w:rsidRPr="008665C7">
              <w:rPr>
                <w:b/>
                <w:bCs/>
                <w:sz w:val="16"/>
                <w:szCs w:val="16"/>
              </w:rPr>
              <w:t>, dr Marcin Świątek, mgr Dami</w:t>
            </w:r>
            <w:r w:rsidR="008665C7" w:rsidRPr="008665C7">
              <w:rPr>
                <w:b/>
                <w:bCs/>
                <w:sz w:val="16"/>
                <w:szCs w:val="16"/>
              </w:rPr>
              <w:t>a</w:t>
            </w:r>
            <w:r w:rsidR="00F3073B" w:rsidRPr="008665C7">
              <w:rPr>
                <w:b/>
                <w:bCs/>
                <w:sz w:val="16"/>
                <w:szCs w:val="16"/>
              </w:rPr>
              <w:t>n B</w:t>
            </w:r>
            <w:r w:rsidR="008665C7" w:rsidRPr="008665C7">
              <w:rPr>
                <w:b/>
                <w:bCs/>
                <w:sz w:val="16"/>
                <w:szCs w:val="16"/>
              </w:rPr>
              <w:t>ie</w:t>
            </w:r>
            <w:r w:rsidR="00F3073B" w:rsidRPr="008665C7">
              <w:rPr>
                <w:b/>
                <w:bCs/>
                <w:sz w:val="16"/>
                <w:szCs w:val="16"/>
              </w:rPr>
              <w:t xml:space="preserve">ń, mgr Jakub Urban, dr hab. Stanisław Samborski, dr hab. </w:t>
            </w:r>
            <w:r>
              <w:rPr>
                <w:b/>
                <w:bCs/>
                <w:sz w:val="16"/>
                <w:szCs w:val="16"/>
              </w:rPr>
              <w:t>Martyna Batorska</w:t>
            </w:r>
            <w:r w:rsidR="00F3073B" w:rsidRPr="008665C7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dr</w:t>
            </w:r>
            <w:r w:rsidR="00F3073B" w:rsidRPr="008665C7">
              <w:rPr>
                <w:b/>
                <w:bCs/>
                <w:sz w:val="16"/>
                <w:szCs w:val="16"/>
              </w:rPr>
              <w:t xml:space="preserve"> Aleksandra Kalińska, mgr Julia Maciocha </w:t>
            </w:r>
          </w:p>
        </w:tc>
      </w:tr>
      <w:tr w:rsidR="00ED11F9" w14:paraId="308CEC3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687298B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1780F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>Cele przedmiotu:  Celem przedmiotu jest przestawienie studentom najnowszych osiągnięć w zakresie intensywnej produkcji zwierzęcej (bydło, drób, trzoda) oraz możliwości profilaktyki zaburzeń zdrowotnych zwierząt w intensywnej produkcji zwierzęcej. Ponadto studenci zostaną zapoznani z zasadami rolnictwa precyzyjnego i wpływem intensywnej produkcji na środowisko przyrodnicze</w:t>
            </w:r>
          </w:p>
          <w:p w14:paraId="0277CAFE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 xml:space="preserve">Opis zajęć:  Blok 1: Nowe technologie w produkcji zwierzęcej </w:t>
            </w:r>
          </w:p>
          <w:p w14:paraId="48B32932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>Nowe metody wykorzystywane w doskonaleniu zwierząt. Narzędzia wykorzystywane przy zarządzaniu stadem zwierząt (źródła informacji, sposoby wykorzystania). Możliwości poprawy wskaźników produkcyjnych i ekonomicznych. Nowoczesne technologie stosowane w chowie i hodowli zwierząt. Organizacja hodowli zwierząt. Ubezpieczenia w rolnictwie. Nowoczesne metody zapewnienia właściwego mikroklimatu – budynki i sprzęt. Finansowanie inwestycji w produkcji zwierzęcej. Działalność doradcza na rynku produkcji zwierzęcej</w:t>
            </w:r>
          </w:p>
          <w:p w14:paraId="1C40427A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 xml:space="preserve">Blok 2: Profilaktyka zaburzeń zdrowotnych w intensywnej produkcji zwierzęcej </w:t>
            </w:r>
          </w:p>
          <w:p w14:paraId="68430E98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>Rodzaje zaburzeń zdrowotnych wynikających z systemu żywienia, utrzymania Programy diagnostyczno-profilaktyczne. Badania biochemiczne krwi w monitorowaniu zdrowia zwierząt. Zastosowanie szybkich testów diagnostycznych. Wykorzystanie profilu metabolicznego do oceny żywienia. Metody wczesnego diagnozowania i zapobiegania zaburzeniom metabolicznym. Białka ostrej fazy w monitorowaniu zdrowia. Wpływ zaburzeń na wyniki produkcyjne</w:t>
            </w:r>
          </w:p>
          <w:p w14:paraId="6F93D9F9" w14:textId="77777777" w:rsidR="008D7450" w:rsidRPr="008D7450" w:rsidRDefault="008D7450" w:rsidP="008D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 xml:space="preserve">Blok 3: Etologia zwierząt gospodarskich w intensywnej produkcji zwierzęcej </w:t>
            </w:r>
          </w:p>
          <w:p w14:paraId="161E0FDC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 xml:space="preserve">Podstawy zachowania się zwierząt (bydło, drób, trzoda chlewna). Świat widziany oczami zwierząt. Uczucia i agresja u zwierząt. Zjawisko stresu u zwierząt gospodarskich (fazy stresu, czynniki stresogenne, zmiany w zachowaniu się zwierząt pod wpływem stresu, sposoby zapobiegania stresom. Zachowania agresywne i antagonizmy między zwierzętami (przyczyny występowania takich zachowań, sposoby postępowania ze zwierzętami, etc.). Odstępstwa od typowych form zachowania (przyczyny, sposoby przeciwdziałania). Zachowania społeczne u zwierząt gospodarskich (ze szczególnym uwzględnieniem tworzenia się hierarchii w stadzie). Zachowanie się zwierząt utrzymywanych w pomieszczeniach. Zachowanie się zwierząt chorych, znaczenie znajomości objawów behawioralnych schorzeń. </w:t>
            </w:r>
          </w:p>
          <w:p w14:paraId="1A531BB4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 xml:space="preserve">Blok 4: Produkcja zwierzęca a środowisko w intensywnej produkcji zwierzęcej </w:t>
            </w:r>
          </w:p>
          <w:p w14:paraId="015A8563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>Źródła i rodzaje zanieczyszczeń, wpływ produkcji zwierzęcej na środowisko, sposoby zagospodarowania odpadów pochodzenia zwierzęcego, sposoby ograniczania ujemnych skutków intensywnej produkcji zwierzęcej dla środowiska, uregulowania prawne. Zjawiska związane z zanieczyszczeniem atmosfery, smog, kwaśne deszcze, dziura ozonowa, efekt cieplarniany. Zanieczyszczenia i ochrona wód oraz gleb. Ochrona środowiska przed drganiami i hałasem. Bioindykacja jako metoda oceny skażenia środowiska naturalnego. Odnawialne źródła energii, energia wiatru, wody, energia geotermalna, biomasa</w:t>
            </w:r>
          </w:p>
          <w:p w14:paraId="08BBD4E6" w14:textId="77777777" w:rsidR="008D7450" w:rsidRPr="008D7450" w:rsidRDefault="008D7450" w:rsidP="008D74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 xml:space="preserve">Blok 5: Precyzyjna produkcja rolnicza </w:t>
            </w:r>
          </w:p>
          <w:p w14:paraId="28E33C4C" w14:textId="77777777" w:rsidR="00ED11F9" w:rsidRPr="00582090" w:rsidRDefault="008D7450" w:rsidP="00CD0414">
            <w:pPr>
              <w:spacing w:line="240" w:lineRule="auto"/>
              <w:rPr>
                <w:sz w:val="16"/>
                <w:szCs w:val="16"/>
              </w:rPr>
            </w:pPr>
            <w:r w:rsidRPr="008D7450">
              <w:rPr>
                <w:bCs/>
                <w:sz w:val="16"/>
                <w:szCs w:val="16"/>
              </w:rPr>
              <w:t>Definicje rolnictwa precyzyjnego. Zakres i składniki rolnictwa precyzyjnego. Pozycjonowanie sprzętu technicznego, identyfikacja zmienności, tworzenie map zmiennej aplikacji i zmienna aplikacja w układzie „off-line” i „on-line”. Wykorzystanie rolnictwa precyzyjnego w produkcji roślinnej i zwierzęcej.</w:t>
            </w:r>
          </w:p>
        </w:tc>
      </w:tr>
      <w:tr w:rsidR="00ED11F9" w:rsidRPr="00E31A6B" w14:paraId="120B198C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94DD4F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F58DD" w14:textId="77777777"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22491B">
              <w:rPr>
                <w:sz w:val="16"/>
                <w:szCs w:val="16"/>
              </w:rPr>
              <w:t>40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5E30EBAA" w14:textId="77777777"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22491B">
              <w:rPr>
                <w:sz w:val="16"/>
                <w:szCs w:val="16"/>
              </w:rPr>
              <w:t>40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15CDC4FF" w14:textId="77777777"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311D0D" w:rsidRPr="00E31A6B" w14:paraId="44A35DCC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DFB818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65F4F" w14:textId="77777777" w:rsidR="00311D0D" w:rsidRPr="00CF2B44" w:rsidRDefault="00311D0D" w:rsidP="00311D0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Wykład, rozwiązywanie problemu, konsultacje</w:t>
            </w:r>
          </w:p>
        </w:tc>
      </w:tr>
      <w:tr w:rsidR="00311D0D" w:rsidRPr="00E31A6B" w14:paraId="1734B4AE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A523DF1" w14:textId="77777777" w:rsidR="00311D0D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501F106E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6298C" w14:textId="77777777" w:rsidR="00311D0D" w:rsidRPr="00CF2B44" w:rsidRDefault="00311D0D" w:rsidP="00311D0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Podstawowa wiedza z produkcji zwierzęcej</w:t>
            </w:r>
          </w:p>
        </w:tc>
      </w:tr>
      <w:tr w:rsidR="00311D0D" w:rsidRPr="00860289" w14:paraId="2E6B5061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4425D" w14:textId="77777777" w:rsidR="00311D0D" w:rsidRPr="00453D61" w:rsidRDefault="00311D0D" w:rsidP="00311D0D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2CABE" w14:textId="77777777" w:rsidR="00311D0D" w:rsidRPr="00453D61" w:rsidRDefault="00311D0D" w:rsidP="00311D0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8B684" w14:textId="77777777" w:rsidR="00311D0D" w:rsidRPr="00860289" w:rsidRDefault="00311D0D" w:rsidP="00311D0D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E911C" w14:textId="77777777" w:rsidR="00311D0D" w:rsidRDefault="00311D0D" w:rsidP="00311D0D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971D0FD" w14:textId="77777777" w:rsidR="00311D0D" w:rsidRPr="00860289" w:rsidRDefault="00311D0D" w:rsidP="00311D0D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311D0D" w:rsidRPr="00860289" w14:paraId="35D4E69E" w14:textId="77777777" w:rsidTr="0004417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7643D" w14:textId="77777777" w:rsidR="00311D0D" w:rsidRDefault="00311D0D" w:rsidP="00311D0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5ECD718B" w14:textId="77777777" w:rsidR="00311D0D" w:rsidRPr="007156FC" w:rsidRDefault="00311D0D" w:rsidP="00311D0D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9C53B" w14:textId="77777777" w:rsidR="00311D0D" w:rsidRPr="00453D61" w:rsidRDefault="00311D0D" w:rsidP="00311D0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14:paraId="626012D7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nowe technologie i techniki informatyczne wykorzystywane w intensywnej produkcji zwierzęcej oraz ich wpływ na środowisko przyrodnicze</w:t>
            </w:r>
          </w:p>
        </w:tc>
        <w:tc>
          <w:tcPr>
            <w:tcW w:w="1134" w:type="dxa"/>
            <w:gridSpan w:val="3"/>
          </w:tcPr>
          <w:p w14:paraId="1ABFBAF8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K_W03, K_W04</w:t>
            </w:r>
          </w:p>
        </w:tc>
        <w:tc>
          <w:tcPr>
            <w:tcW w:w="709" w:type="dxa"/>
          </w:tcPr>
          <w:p w14:paraId="48746F0B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2, 2</w:t>
            </w:r>
          </w:p>
        </w:tc>
      </w:tr>
      <w:tr w:rsidR="00311D0D" w:rsidRPr="00860289" w14:paraId="577DA7EB" w14:textId="77777777" w:rsidTr="0004417E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0B46" w14:textId="77777777" w:rsidR="00311D0D" w:rsidRPr="00453D61" w:rsidRDefault="00311D0D" w:rsidP="00311D0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D4808" w14:textId="77777777" w:rsidR="00311D0D" w:rsidRPr="00453D61" w:rsidRDefault="00311D0D" w:rsidP="00311D0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14:paraId="5D213F4F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zachowania się zwierząt w różnych systemach produkcji zwierzęcej lub w przypadku występujących schorzeń</w:t>
            </w:r>
          </w:p>
        </w:tc>
        <w:tc>
          <w:tcPr>
            <w:tcW w:w="1134" w:type="dxa"/>
            <w:gridSpan w:val="3"/>
          </w:tcPr>
          <w:p w14:paraId="5F86A2D2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</w:tcPr>
          <w:p w14:paraId="4B214C6C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311D0D" w:rsidRPr="00860289" w14:paraId="45BCB9D7" w14:textId="77777777" w:rsidTr="00271BB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FD6AA" w14:textId="77777777" w:rsidR="00311D0D" w:rsidRDefault="00311D0D" w:rsidP="00311D0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30FAE7A3" w14:textId="77777777" w:rsidR="00311D0D" w:rsidRPr="007156FC" w:rsidRDefault="00311D0D" w:rsidP="00311D0D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249534AE" w14:textId="77777777" w:rsidR="00311D0D" w:rsidRPr="00453D61" w:rsidRDefault="00311D0D" w:rsidP="00311D0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2B03C" w14:textId="77777777" w:rsidR="00311D0D" w:rsidRPr="00453D61" w:rsidRDefault="00311D0D" w:rsidP="00311D0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14:paraId="66FFAA0A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opracować program bioasekuracji stada lub profilaktyki zaburzeń zdrowotnych zwierząt w intensywnej produkcji zwierzęcej</w:t>
            </w:r>
          </w:p>
        </w:tc>
        <w:tc>
          <w:tcPr>
            <w:tcW w:w="1134" w:type="dxa"/>
            <w:gridSpan w:val="3"/>
          </w:tcPr>
          <w:p w14:paraId="792B1CF8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</w:tcPr>
          <w:p w14:paraId="0603400C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311D0D" w:rsidRPr="00860289" w14:paraId="161DE7FE" w14:textId="77777777" w:rsidTr="00271BB8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250C2" w14:textId="77777777" w:rsidR="00311D0D" w:rsidRPr="00453D61" w:rsidRDefault="00311D0D" w:rsidP="00311D0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112A5" w14:textId="77777777" w:rsidR="00311D0D" w:rsidRPr="00453D61" w:rsidRDefault="00311D0D" w:rsidP="00311D0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14:paraId="46451AA2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przedstawić możliwe rozwiązania techniczne i technologiczne prowadzące do poprawy wskaźników produkcyjnych i ochrony środowiska</w:t>
            </w:r>
          </w:p>
        </w:tc>
        <w:tc>
          <w:tcPr>
            <w:tcW w:w="1134" w:type="dxa"/>
            <w:gridSpan w:val="3"/>
          </w:tcPr>
          <w:p w14:paraId="641B98C2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</w:tcPr>
          <w:p w14:paraId="11C03780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w:rsidR="00311D0D" w:rsidRPr="00860289" w14:paraId="4B15135D" w14:textId="77777777" w:rsidTr="00271BB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9C17C" w14:textId="77777777" w:rsidR="00311D0D" w:rsidRPr="00453D61" w:rsidRDefault="00311D0D" w:rsidP="00311D0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06D17" w14:textId="77777777" w:rsidR="00311D0D" w:rsidRDefault="00311D0D" w:rsidP="00311D0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</w:tcPr>
          <w:p w14:paraId="5845EA4A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ocenić stan zdrowia zwierząt wykorzystując różne źródła informacji oraz zaproponować możliwości poprawy jego stanu</w:t>
            </w:r>
          </w:p>
        </w:tc>
        <w:tc>
          <w:tcPr>
            <w:tcW w:w="1134" w:type="dxa"/>
            <w:gridSpan w:val="3"/>
          </w:tcPr>
          <w:p w14:paraId="0D39F80C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</w:tcPr>
          <w:p w14:paraId="03ED8BB3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311D0D" w:rsidRPr="00860289" w14:paraId="79C5696E" w14:textId="77777777" w:rsidTr="004720D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4BF9D" w14:textId="77777777" w:rsidR="00311D0D" w:rsidRDefault="00311D0D" w:rsidP="00311D0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1F87A1EF" w14:textId="77777777" w:rsidR="00311D0D" w:rsidRPr="00453D61" w:rsidRDefault="00311D0D" w:rsidP="00311D0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315C14A3" w14:textId="77777777" w:rsidR="00311D0D" w:rsidRPr="00453D61" w:rsidRDefault="00311D0D" w:rsidP="00311D0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06E48" w14:textId="77777777" w:rsidR="00311D0D" w:rsidRPr="00453D61" w:rsidRDefault="00311D0D" w:rsidP="00311D0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14:paraId="23E39B6C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ciągłego studiowania literatury związanej z intensywną produkcją zwierzęcą oraz przestrzegania zasad etyki zawodowej</w:t>
            </w:r>
          </w:p>
        </w:tc>
        <w:tc>
          <w:tcPr>
            <w:tcW w:w="1134" w:type="dxa"/>
            <w:gridSpan w:val="3"/>
          </w:tcPr>
          <w:p w14:paraId="6DCE3AD9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</w:tcPr>
          <w:p w14:paraId="1BB49504" w14:textId="77777777" w:rsidR="00311D0D" w:rsidRPr="00A3003A" w:rsidRDefault="00311D0D" w:rsidP="00311D0D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311D0D" w:rsidRPr="00860289" w14:paraId="7279A9D4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A9CE5" w14:textId="77777777" w:rsidR="00311D0D" w:rsidRPr="00453D61" w:rsidRDefault="00311D0D" w:rsidP="00311D0D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1C174" w14:textId="77777777" w:rsidR="00311D0D" w:rsidRPr="00453D61" w:rsidRDefault="00311D0D" w:rsidP="00311D0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744D2" w14:textId="77777777" w:rsidR="00311D0D" w:rsidRPr="000E7610" w:rsidRDefault="00311D0D" w:rsidP="00311D0D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829A5" w14:textId="77777777" w:rsidR="00311D0D" w:rsidRPr="00860289" w:rsidRDefault="00311D0D" w:rsidP="00311D0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2746F" w14:textId="77777777" w:rsidR="00311D0D" w:rsidRPr="00860289" w:rsidRDefault="00311D0D" w:rsidP="00311D0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11D0D" w14:paraId="30A3ACD7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0750C3F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563ABD2" w14:textId="77777777" w:rsidR="00311D0D" w:rsidRPr="00A3003A" w:rsidRDefault="00311D0D" w:rsidP="00311D0D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Calibri"/>
                <w:bCs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  <w:lang w:val="pl-PL"/>
              </w:rPr>
              <w:t>Nowe metody wykorzystywane w doskonaleniu zwierząt. Narzędzia wykorzystywane przy zarządzaniu stadem zwierząt. Możliwości poprawy wskaźników produkcyjnych i ekonomicznych. Nowoczesne technologie stosowane w chowie i hodowli zwierząt. Organizacja hodowli zwierząt. Ubezpieczenia w rolnictwie. Nowoczesne metody zapewnienia właściwego mikroklimatu – budynki i sprzęt. Finansowanie inwestycji w produkcji zwierzęcej. Działalność doradcza na rynku produkcji zwierzęcej. Profilaktyka zaburzeń zdrowotnych w intensywnej produkcji zwierzęcej</w:t>
            </w:r>
          </w:p>
          <w:p w14:paraId="3BC37673" w14:textId="77777777" w:rsidR="00311D0D" w:rsidRPr="00A3003A" w:rsidRDefault="00311D0D" w:rsidP="00311D0D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Calibri"/>
                <w:bCs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  <w:lang w:val="pl-PL"/>
              </w:rPr>
              <w:t>Rodzaje zaburzeń zdrowotnych wynikających z systemu żywienia, utrzymania Programy diagnostyczno-profilaktyczne. Badania biochemiczne krwi w monitorowaniu zdrowia zwierząt. Zastosowanie szybkich testów diagnostycznych. Wykorzystanie profilu metabolicznego do oceny żywienia. Metody wczesnego diagnozowania i zapobiegania zaburzeniom metabolicznym. Białka ostrej fazy w monitorowaniu zdrowia. Wpływ zaburzeń na wyniki produkcyjne. Etologia zwierząt gospodarskich w intensywnej produkcji zwierzęcej</w:t>
            </w:r>
          </w:p>
          <w:p w14:paraId="54A3E77A" w14:textId="77777777" w:rsidR="00311D0D" w:rsidRPr="00A3003A" w:rsidRDefault="00311D0D" w:rsidP="00311D0D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Calibri"/>
                <w:bCs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  <w:lang w:val="pl-PL"/>
              </w:rPr>
              <w:t>Zachowanie się zwierząt (bydło, drób, trzoda chlewna). Świat widziany oczami zwierząt. Uczucia i agresja u zwierząt. Zjawisko stresu u zwierząt gospodarskich (fazy stresu, czynniki stresogenne, zmiany w zachowaniu się zwierząt pod wpływem stresu, sposoby zapobiegania stresom. Zachowania agresywne i antagonizmy między zwierzętami (przyczyny występowania takich zachowań, sposoby postępowania ze zwierzętami, etc.). Odstępstwa od typowych form zachowania (przyczyny, sposoby przeciwdziałania). Zachowania społeczne u zwierząt gospodarskich (ze szczególnym uwzględnieniem tworzenia się hierarchii w stadzie). Zachowanie się zwierząt utrzymywanych w pomieszczeniach. Zachowanie się zwierząt chorych, znaczenie znajomości objawów behawioralnych schorzeń.  Produkcja zwierzęca a środowisko w intensywnej produkcji zwierzęcej</w:t>
            </w:r>
          </w:p>
          <w:p w14:paraId="2EF41B06" w14:textId="77777777" w:rsidR="00311D0D" w:rsidRPr="00A3003A" w:rsidRDefault="00311D0D" w:rsidP="00311D0D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Calibri"/>
                <w:bCs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  <w:lang w:val="pl-PL"/>
              </w:rPr>
              <w:t>Źródła i rodzaje zanieczyszczeń, wpływ produkcji zwierzęcej na środowisko, sposoby zagospodarowania odpadów pochodzenia zwierzęcego, sposoby ograniczania ujemnych skutków intensywnej produkcji zwierzęcej dla środowiska, uregulowania prawne. Zjawiska związane z zanieczyszczeniem atmosfery, smog, kwaśne deszcze, dziura ozonowa, efekt cieplarniany. Zanieczyszczenia i ochrona wód oraz gleb. Ochrona środowiska przed drganiami i hałasem. Bioindykacja jako metoda oceny skażenia środowiska naturalnego. Odnawialne źródła energii, energia wiatru, wody, energia geotermalna, biomasa, Precyzyjna produkcja rolnicza</w:t>
            </w:r>
          </w:p>
          <w:p w14:paraId="65BD77A4" w14:textId="77777777" w:rsidR="00311D0D" w:rsidRPr="009E71F1" w:rsidRDefault="00311D0D" w:rsidP="00311D0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Definicje rolnictwa precyzyjnego. Zakres i składniki rolnictwa precyzyjnego. Pozycjonowanie sprzętu technicznego, identyfikacja zmienności, tworzenie map zmiennej aplikacji i zmienna aplikacja w układzie „off-line” i „on-line”. Wykorzystanie rolnictwa precyzyjnego w produkcji roślinnej i zwierzęcej.</w:t>
            </w:r>
          </w:p>
        </w:tc>
      </w:tr>
      <w:tr w:rsidR="00311D0D" w14:paraId="00A57DD5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22A7AEA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2BA2F70" w14:textId="77777777" w:rsidR="00311D0D" w:rsidRPr="00A3003A" w:rsidRDefault="00311D0D" w:rsidP="00311D0D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>W1, W2, U1, U2, U3, K1 – egzamin</w:t>
            </w:r>
          </w:p>
          <w:p w14:paraId="3BBA99A7" w14:textId="77777777" w:rsidR="00311D0D" w:rsidRPr="009E71F1" w:rsidRDefault="00311D0D" w:rsidP="00311D0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311D0D" w14:paraId="3BE3E58B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7D8F68B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09772C1C" w14:textId="32555FEA" w:rsidR="00311D0D" w:rsidRPr="009E71F1" w:rsidRDefault="00EC6587" w:rsidP="00311D0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Protokół z pytaniami i oceną</w:t>
            </w:r>
          </w:p>
        </w:tc>
      </w:tr>
      <w:tr w:rsidR="00311D0D" w14:paraId="25951069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0E9E841" w14:textId="77777777" w:rsidR="00311D0D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187FC887" w14:textId="77777777" w:rsidR="00311D0D" w:rsidRPr="00582090" w:rsidRDefault="00311D0D" w:rsidP="00311D0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93C9E62" w14:textId="77777777" w:rsidR="00311D0D" w:rsidRPr="00CF2B44" w:rsidRDefault="00311D0D" w:rsidP="00311D0D">
            <w:pPr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100% egzamin</w:t>
            </w:r>
          </w:p>
        </w:tc>
      </w:tr>
      <w:tr w:rsidR="00311D0D" w14:paraId="2CB973EB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62A35AE4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2FE2D95C" w14:textId="77777777" w:rsidR="00311D0D" w:rsidRPr="00CF2B44" w:rsidRDefault="00311D0D" w:rsidP="00311D0D">
            <w:pPr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Wykład: aula wykładowa</w:t>
            </w:r>
            <w:r>
              <w:rPr>
                <w:bCs/>
                <w:sz w:val="16"/>
                <w:szCs w:val="16"/>
              </w:rPr>
              <w:t>, ć</w:t>
            </w:r>
            <w:r w:rsidRPr="00CF2B44">
              <w:rPr>
                <w:bCs/>
                <w:sz w:val="16"/>
                <w:szCs w:val="16"/>
              </w:rPr>
              <w:t>wiczenia: sale dydaktyczne</w:t>
            </w:r>
          </w:p>
        </w:tc>
      </w:tr>
      <w:tr w:rsidR="00311D0D" w14:paraId="7F3476F0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1A0BB83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6E4672D1" w14:textId="77777777" w:rsidR="00311D0D" w:rsidRPr="00CF2B44" w:rsidRDefault="00311D0D" w:rsidP="00311D0D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1 Hodowla i użytkowanie bydła 2005: Praca zbiorowa pod red. Litwińczuka Z., Szulca T., PWRiL, Warszawa</w:t>
            </w:r>
          </w:p>
          <w:p w14:paraId="1FAFC127" w14:textId="77777777" w:rsidR="00311D0D" w:rsidRPr="00CF2B44" w:rsidRDefault="00311D0D" w:rsidP="00311D0D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2.  Metody chowu i hodowli bydła 2011:  Praca zbiorowa pod red. Grodzkiego H., Wydawnictwo SGGW</w:t>
            </w:r>
          </w:p>
          <w:p w14:paraId="3491A725" w14:textId="77777777" w:rsidR="00311D0D" w:rsidRPr="00CF2B44" w:rsidRDefault="00311D0D" w:rsidP="00311D0D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3. Chów bydła mięsnego, 2009. Praca zbiorowa pod redakcją naukową H. Grodzkiego. Wyd. WWR</w:t>
            </w:r>
          </w:p>
          <w:p w14:paraId="52C61633" w14:textId="77777777" w:rsidR="00311D0D" w:rsidRPr="00CF2B44" w:rsidRDefault="00311D0D" w:rsidP="00311D0D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4. Chów i hodowla trzody chlewnej, 2015. Praca zbiorowa pod redakcją M. Batorskiej i J. Więcek, Wyd. SGGW</w:t>
            </w:r>
          </w:p>
          <w:p w14:paraId="144E819D" w14:textId="77777777" w:rsidR="00311D0D" w:rsidRPr="00CF2B44" w:rsidRDefault="00311D0D" w:rsidP="00311D0D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5. Chów drobiu, 2008.  Praca zbiorowa pod E. Świerczewskiej, Wyd. SGGW</w:t>
            </w:r>
          </w:p>
          <w:p w14:paraId="22CF2AC5" w14:textId="77777777" w:rsidR="00311D0D" w:rsidRPr="00CF2B44" w:rsidRDefault="00311D0D" w:rsidP="00311D0D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6.  Hodowla i użytkowanie drobiu 2013. Praca zbiorowa pod redakcją J. Jankowskiego, PWRiL</w:t>
            </w:r>
          </w:p>
          <w:p w14:paraId="00A88D07" w14:textId="77777777" w:rsidR="00311D0D" w:rsidRPr="00CF2B44" w:rsidRDefault="00311D0D" w:rsidP="00311D0D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7. Techniki pracy ze zwierzętami użytkowymi: bydło, świnie, owce, kozy</w:t>
            </w:r>
            <w:r w:rsidRPr="0023603E">
              <w:rPr>
                <w:bCs/>
                <w:sz w:val="16"/>
                <w:szCs w:val="16"/>
              </w:rPr>
              <w:t xml:space="preserve"> 2016</w:t>
            </w:r>
            <w:r w:rsidRPr="00CF2B44">
              <w:rPr>
                <w:bCs/>
                <w:sz w:val="16"/>
                <w:szCs w:val="16"/>
              </w:rPr>
              <w:t xml:space="preserve">: </w:t>
            </w:r>
            <w:hyperlink r:id="rId7" w:tooltip="Huber Buer" w:history="1">
              <w:r w:rsidRPr="00CF2B44">
                <w:rPr>
                  <w:bCs/>
                  <w:sz w:val="16"/>
                  <w:szCs w:val="16"/>
                </w:rPr>
                <w:t>Huber Buer</w:t>
              </w:r>
            </w:hyperlink>
            <w:r w:rsidRPr="00CF2B44">
              <w:rPr>
                <w:bCs/>
                <w:sz w:val="16"/>
                <w:szCs w:val="16"/>
              </w:rPr>
              <w:t xml:space="preserve">, </w:t>
            </w:r>
            <w:hyperlink r:id="rId8" w:tooltip="Andreas Palzer" w:history="1">
              <w:r w:rsidRPr="00CF2B44">
                <w:rPr>
                  <w:bCs/>
                  <w:sz w:val="16"/>
                  <w:szCs w:val="16"/>
                </w:rPr>
                <w:t>Andreas Palzer</w:t>
              </w:r>
            </w:hyperlink>
            <w:r w:rsidRPr="00CF2B44">
              <w:rPr>
                <w:bCs/>
                <w:sz w:val="16"/>
                <w:szCs w:val="16"/>
              </w:rPr>
              <w:t xml:space="preserve">. </w:t>
            </w:r>
            <w:hyperlink r:id="rId9" w:history="1">
              <w:r w:rsidRPr="00CF2B44">
                <w:rPr>
                  <w:bCs/>
                  <w:sz w:val="16"/>
                  <w:szCs w:val="16"/>
                </w:rPr>
                <w:t>Wydawnictwo Lekarskie PZW</w:t>
              </w:r>
            </w:hyperlink>
          </w:p>
          <w:p w14:paraId="5D3707A1" w14:textId="77777777" w:rsidR="00311D0D" w:rsidRPr="00CF2B44" w:rsidRDefault="00311D0D" w:rsidP="00311D0D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 xml:space="preserve">8. Monitorowanie problemów zdrowotnych stad bydła 2008: </w:t>
            </w:r>
            <w:hyperlink r:id="rId10" w:tooltip="Ryszard Mordak" w:history="1">
              <w:r w:rsidRPr="00CF2B44">
                <w:rPr>
                  <w:bCs/>
                  <w:sz w:val="16"/>
                  <w:szCs w:val="16"/>
                </w:rPr>
                <w:t>Ryszard Mordak</w:t>
              </w:r>
            </w:hyperlink>
            <w:r w:rsidRPr="00CF2B44">
              <w:rPr>
                <w:bCs/>
                <w:sz w:val="16"/>
                <w:szCs w:val="16"/>
              </w:rPr>
              <w:t xml:space="preserve"> </w:t>
            </w:r>
          </w:p>
          <w:p w14:paraId="232C8D46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9.Czasopisma branżowe</w:t>
            </w:r>
          </w:p>
        </w:tc>
      </w:tr>
      <w:tr w:rsidR="00311D0D" w14:paraId="37D9DA82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AC3E474" w14:textId="77777777" w:rsidR="00311D0D" w:rsidRDefault="00311D0D" w:rsidP="00311D0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81FF501" w14:textId="77777777" w:rsidR="00311D0D" w:rsidRPr="00701DD3" w:rsidRDefault="00311D0D" w:rsidP="00311D0D">
            <w:pPr>
              <w:spacing w:line="240" w:lineRule="auto"/>
              <w:rPr>
                <w:sz w:val="20"/>
                <w:szCs w:val="20"/>
              </w:rPr>
            </w:pPr>
          </w:p>
          <w:p w14:paraId="2D07106A" w14:textId="77777777" w:rsidR="00311D0D" w:rsidRPr="00701DD3" w:rsidRDefault="00311D0D" w:rsidP="00311D0D">
            <w:pPr>
              <w:spacing w:line="240" w:lineRule="auto"/>
              <w:rPr>
                <w:sz w:val="20"/>
                <w:szCs w:val="20"/>
              </w:rPr>
            </w:pPr>
          </w:p>
          <w:p w14:paraId="030D7F50" w14:textId="77777777" w:rsidR="00311D0D" w:rsidRPr="00582090" w:rsidRDefault="00311D0D" w:rsidP="00311D0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BA07AC8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6931510" w14:textId="77777777" w:rsidR="00ED11F9" w:rsidRDefault="00ED11F9" w:rsidP="00ED11F9">
      <w:pPr>
        <w:rPr>
          <w:sz w:val="16"/>
        </w:rPr>
      </w:pPr>
    </w:p>
    <w:p w14:paraId="239BC874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2416E55F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2A65C21D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1CD4A050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11D0D">
              <w:rPr>
                <w:sz w:val="16"/>
                <w:szCs w:val="16"/>
              </w:rPr>
              <w:t>360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4C2836AA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1D6A2BDB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0D2128D5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76E94">
              <w:rPr>
                <w:sz w:val="16"/>
                <w:szCs w:val="16"/>
              </w:rPr>
              <w:t>3,5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3DC5F5F1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8E1D" w14:textId="77777777" w:rsidR="005D58F4" w:rsidRDefault="005D58F4" w:rsidP="002C0CA5">
      <w:pPr>
        <w:spacing w:line="240" w:lineRule="auto"/>
      </w:pPr>
      <w:r>
        <w:separator/>
      </w:r>
    </w:p>
  </w:endnote>
  <w:endnote w:type="continuationSeparator" w:id="0">
    <w:p w14:paraId="56693ADD" w14:textId="77777777" w:rsidR="005D58F4" w:rsidRDefault="005D58F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04C0" w14:textId="77777777" w:rsidR="005D58F4" w:rsidRDefault="005D58F4" w:rsidP="002C0CA5">
      <w:pPr>
        <w:spacing w:line="240" w:lineRule="auto"/>
      </w:pPr>
      <w:r>
        <w:separator/>
      </w:r>
    </w:p>
  </w:footnote>
  <w:footnote w:type="continuationSeparator" w:id="0">
    <w:p w14:paraId="3C2FA76D" w14:textId="77777777" w:rsidR="005D58F4" w:rsidRDefault="005D58F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36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3120"/>
    <w:rsid w:val="00207BBF"/>
    <w:rsid w:val="0022491B"/>
    <w:rsid w:val="00240504"/>
    <w:rsid w:val="00296374"/>
    <w:rsid w:val="002A7F6F"/>
    <w:rsid w:val="002C0CA5"/>
    <w:rsid w:val="002C27E5"/>
    <w:rsid w:val="00311D0D"/>
    <w:rsid w:val="00316977"/>
    <w:rsid w:val="00321FD2"/>
    <w:rsid w:val="00341D25"/>
    <w:rsid w:val="0036131B"/>
    <w:rsid w:val="003949F0"/>
    <w:rsid w:val="003B680D"/>
    <w:rsid w:val="00444161"/>
    <w:rsid w:val="004C3EBF"/>
    <w:rsid w:val="004F5168"/>
    <w:rsid w:val="004F5B8E"/>
    <w:rsid w:val="005A2DE1"/>
    <w:rsid w:val="005C4331"/>
    <w:rsid w:val="005D58F4"/>
    <w:rsid w:val="006408EF"/>
    <w:rsid w:val="00651391"/>
    <w:rsid w:val="006674DC"/>
    <w:rsid w:val="006C3AE5"/>
    <w:rsid w:val="006C766B"/>
    <w:rsid w:val="0072568B"/>
    <w:rsid w:val="00735F91"/>
    <w:rsid w:val="00790BA0"/>
    <w:rsid w:val="007A4534"/>
    <w:rsid w:val="007C1F40"/>
    <w:rsid w:val="007D736E"/>
    <w:rsid w:val="007E4F4E"/>
    <w:rsid w:val="00860FAB"/>
    <w:rsid w:val="008665C7"/>
    <w:rsid w:val="008812B7"/>
    <w:rsid w:val="00896660"/>
    <w:rsid w:val="0089669C"/>
    <w:rsid w:val="008C5679"/>
    <w:rsid w:val="008D7450"/>
    <w:rsid w:val="008F7E6F"/>
    <w:rsid w:val="00925376"/>
    <w:rsid w:val="0093211F"/>
    <w:rsid w:val="00965A2D"/>
    <w:rsid w:val="00966E0B"/>
    <w:rsid w:val="009B21A4"/>
    <w:rsid w:val="009E71F1"/>
    <w:rsid w:val="00A41D37"/>
    <w:rsid w:val="00A43564"/>
    <w:rsid w:val="00A77DEE"/>
    <w:rsid w:val="00AE32F4"/>
    <w:rsid w:val="00B2721F"/>
    <w:rsid w:val="00B46F26"/>
    <w:rsid w:val="00B66508"/>
    <w:rsid w:val="00B66CBB"/>
    <w:rsid w:val="00CD0414"/>
    <w:rsid w:val="00CD1204"/>
    <w:rsid w:val="00D10B7D"/>
    <w:rsid w:val="00D25252"/>
    <w:rsid w:val="00DD41C6"/>
    <w:rsid w:val="00E45289"/>
    <w:rsid w:val="00EC6587"/>
    <w:rsid w:val="00ED11F9"/>
    <w:rsid w:val="00EE4F54"/>
    <w:rsid w:val="00F17173"/>
    <w:rsid w:val="00F3073B"/>
    <w:rsid w:val="00F56B2B"/>
    <w:rsid w:val="00F76E94"/>
    <w:rsid w:val="00F97DC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BAA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2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pzwl.pl/szukaj/?query%5bautorzy%5d=Andreas%20Palz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dawnictwopzwl.pl/szukaj/?query%5bautorzy%5d=Huber%20B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siegarnia.pwn.pl/autor/Ryszard-Mordak,a,88905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ydawnictwopzwl.pl/szukaj?eq%5bwyd%5d=Wydawnictwo%20Lekarskie%20PZW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Jan Slósarz</cp:lastModifiedBy>
  <cp:revision>11</cp:revision>
  <cp:lastPrinted>2019-03-18T08:34:00Z</cp:lastPrinted>
  <dcterms:created xsi:type="dcterms:W3CDTF">2022-11-18T13:32:00Z</dcterms:created>
  <dcterms:modified xsi:type="dcterms:W3CDTF">2023-04-05T11:35:00Z</dcterms:modified>
</cp:coreProperties>
</file>