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E43AC0" w:rsidTr="2A5245F0" w14:paraId="2412734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E43AC0" w:rsidP="00E43AC0" w:rsidRDefault="00E43AC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43AC0" w:rsidR="00E43AC0" w:rsidP="00E43AC0" w:rsidRDefault="00E43AC0" w14:paraId="09A8FD23" wp14:textId="77777777">
            <w:pPr>
              <w:rPr>
                <w:bCs/>
                <w:sz w:val="16"/>
                <w:szCs w:val="16"/>
              </w:rPr>
            </w:pPr>
            <w:r w:rsidRPr="00E43AC0">
              <w:rPr>
                <w:bCs/>
                <w:sz w:val="20"/>
                <w:szCs w:val="16"/>
              </w:rPr>
              <w:t>Towaroznawstwo produktów pochodzenia zwierzęcego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E43AC0" w:rsidP="00E43AC0" w:rsidRDefault="00E43AC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E43AC0" w:rsidTr="2A5245F0" w14:paraId="0AB0DD5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43AC0" w:rsidR="00E43AC0" w:rsidP="00E43AC0" w:rsidRDefault="00E43AC0" w14:paraId="45339E94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E43AC0">
              <w:rPr>
                <w:bCs/>
                <w:sz w:val="16"/>
                <w:szCs w:val="16"/>
              </w:rPr>
              <w:t>Animal</w:t>
            </w:r>
            <w:proofErr w:type="spellEnd"/>
            <w:r w:rsidRPr="00E43AC0">
              <w:rPr>
                <w:bCs/>
                <w:sz w:val="16"/>
                <w:szCs w:val="16"/>
              </w:rPr>
              <w:t xml:space="preserve"> products </w:t>
            </w:r>
            <w:proofErr w:type="spellStart"/>
            <w:r w:rsidRPr="00E43AC0">
              <w:rPr>
                <w:bCs/>
                <w:sz w:val="16"/>
                <w:szCs w:val="16"/>
              </w:rPr>
              <w:t>expertness</w:t>
            </w:r>
            <w:proofErr w:type="spellEnd"/>
          </w:p>
        </w:tc>
      </w:tr>
      <w:tr xmlns:wp14="http://schemas.microsoft.com/office/word/2010/wordml" w:rsidRPr="00021A86" w:rsidR="00E43AC0" w:rsidTr="2A5245F0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43AC0" w:rsidP="00E43AC0" w:rsidRDefault="00E43AC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E43AC0" w:rsidTr="2A5245F0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E43AC0" w:rsidP="00E43AC0" w:rsidRDefault="00E43AC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43AC0" w:rsidTr="2A5245F0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E43AC0" w:rsidTr="2A5245F0" w14:paraId="08E7634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E43AC0" w:rsidP="00E43AC0" w:rsidRDefault="00E43AC0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E43AC0" w:rsidP="00E43AC0" w:rsidRDefault="00E43AC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E43AC0" w:rsidP="00E43AC0" w:rsidRDefault="00E43AC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43AC0" w:rsidP="00E43AC0" w:rsidRDefault="00E43AC0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E43AC0" w:rsidTr="2A5245F0" w14:paraId="1901DA6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E43AC0" w:rsidRDefault="00E43AC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43AC0" w:rsidP="00802EC8" w:rsidRDefault="00E43AC0" w14:paraId="48E2725E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43AC0">
              <w:rPr>
                <w:sz w:val="16"/>
                <w:szCs w:val="16"/>
              </w:rPr>
              <w:t>WNZ-ZT</w:t>
            </w:r>
            <w:r w:rsidR="00802EC8">
              <w:rPr>
                <w:sz w:val="16"/>
                <w:szCs w:val="16"/>
              </w:rPr>
              <w:t>-</w:t>
            </w:r>
            <w:r w:rsidRPr="00E43AC0">
              <w:rPr>
                <w:sz w:val="16"/>
                <w:szCs w:val="16"/>
              </w:rPr>
              <w:t>1S-07Z-</w:t>
            </w:r>
            <w:r w:rsidR="00802EC8">
              <w:rPr>
                <w:sz w:val="16"/>
                <w:szCs w:val="16"/>
              </w:rPr>
              <w:t>0</w:t>
            </w:r>
            <w:r w:rsidRPr="00E43AC0">
              <w:rPr>
                <w:sz w:val="16"/>
                <w:szCs w:val="16"/>
              </w:rPr>
              <w:t>3</w:t>
            </w:r>
            <w:r w:rsidR="00802EC8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43AC0" w:rsidTr="2A5245F0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43AC0" w:rsidP="00E43AC0" w:rsidRDefault="00E43AC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61621" w:rsidTr="2A5245F0" w14:paraId="026BE23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61621" w:rsidR="00D61621" w:rsidP="00D61621" w:rsidRDefault="00D61621" w14:paraId="1236FF9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621">
              <w:rPr>
                <w:rFonts w:ascii="Arial" w:hAnsi="Arial" w:cs="Arial"/>
                <w:bCs/>
                <w:sz w:val="16"/>
                <w:szCs w:val="16"/>
              </w:rPr>
              <w:t>Prof. dr hab. Beata Kuczyńska</w:t>
            </w:r>
          </w:p>
        </w:tc>
      </w:tr>
      <w:tr xmlns:wp14="http://schemas.microsoft.com/office/word/2010/wordml" w:rsidRPr="00021A86" w:rsidR="00D61621" w:rsidTr="2A5245F0" w14:paraId="71F8399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61621" w:rsidR="00D61621" w:rsidP="5870F89F" w:rsidRDefault="00D61621" w14:paraId="6F7A2F94" wp14:textId="05D793B2">
            <w:pPr>
              <w:rPr>
                <w:rFonts w:ascii="Arial" w:hAnsi="Arial" w:cs="Arial"/>
                <w:sz w:val="16"/>
                <w:szCs w:val="16"/>
              </w:rPr>
            </w:pPr>
            <w:r w:rsidRPr="2A5245F0" w:rsidR="2A5245F0">
              <w:rPr>
                <w:rFonts w:ascii="Arial" w:hAnsi="Arial" w:cs="Arial"/>
                <w:sz w:val="16"/>
                <w:szCs w:val="16"/>
              </w:rPr>
              <w:t xml:space="preserve">prof. dr hab. Beata Kuczyńska, dr hab. Aurelia Radzik-Rant, dr hab. Martyna Batorska,  dr hab. Witold Rant, dr hab. Robert Głogowski, prof. SGGW, dr inż.  Małgorzata Riedel, dr hab. Krzysztof </w:t>
            </w:r>
            <w:proofErr w:type="spellStart"/>
            <w:r w:rsidRPr="2A5245F0" w:rsidR="2A5245F0">
              <w:rPr>
                <w:rFonts w:ascii="Arial" w:hAnsi="Arial" w:cs="Arial"/>
                <w:sz w:val="16"/>
                <w:szCs w:val="16"/>
              </w:rPr>
              <w:t>Damaziak</w:t>
            </w:r>
            <w:proofErr w:type="spellEnd"/>
            <w:r w:rsidRPr="2A5245F0" w:rsidR="2A5245F0">
              <w:rPr>
                <w:rFonts w:ascii="Arial" w:hAnsi="Arial" w:cs="Arial"/>
                <w:sz w:val="16"/>
                <w:szCs w:val="16"/>
              </w:rPr>
              <w:t xml:space="preserve">, dr inż. Marcin Sońta, mgr inż. Grzegorz Grodkowski, mgr inż. Paweł </w:t>
            </w:r>
            <w:proofErr w:type="spellStart"/>
            <w:r w:rsidRPr="2A5245F0" w:rsidR="2A5245F0">
              <w:rPr>
                <w:rFonts w:ascii="Arial" w:hAnsi="Arial" w:cs="Arial"/>
                <w:sz w:val="16"/>
                <w:szCs w:val="16"/>
              </w:rPr>
              <w:t>Solarczyk</w:t>
            </w:r>
            <w:proofErr w:type="spellEnd"/>
          </w:p>
        </w:tc>
      </w:tr>
      <w:tr xmlns:wp14="http://schemas.microsoft.com/office/word/2010/wordml" w:rsidRPr="00021A86" w:rsidR="00D61621" w:rsidTr="2A5245F0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61621" w:rsidR="00D61621" w:rsidP="00D61621" w:rsidRDefault="00D61621" w14:paraId="7199FA1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621">
              <w:rPr>
                <w:rFonts w:ascii="Arial" w:hAnsi="Arial" w:cs="Arial"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D61621" w:rsidTr="2A5245F0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61621" w:rsidR="00D61621" w:rsidP="00D61621" w:rsidRDefault="00D61621" w14:paraId="7674ACF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61621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D61621" w:rsidTr="2A5245F0" w14:paraId="66A3376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61621" w:rsidP="00D61621" w:rsidRDefault="00D61621" w14:paraId="4599504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3B4BFA">
              <w:rPr>
                <w:sz w:val="16"/>
                <w:szCs w:val="16"/>
              </w:rPr>
              <w:t xml:space="preserve">  Zapoznanie studentów z czynnikami wpływającymi na wartość surowców pochodzenia zwierzęcego.</w:t>
            </w:r>
          </w:p>
          <w:p w:rsidRPr="00021A86" w:rsidR="00D61621" w:rsidP="00D61621" w:rsidRDefault="00D61621" w14:paraId="5E4E03F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3B4BFA">
              <w:rPr>
                <w:sz w:val="16"/>
                <w:szCs w:val="16"/>
              </w:rPr>
              <w:t xml:space="preserve"> Surowce zwierzęce i ich znaczenie w produkcji żywności. Składniki frakcji tłuszczowej, białkowej oraz inne składniki mleka. Właściwości technologiczne mleka.  Metody oceny jakości surowców pochodzenia zwierzęcego (mleko, mięso, jaja, włókna). Wybrane zagadnienia z przetwórstwa surowców zwierzęcych. Czynniki wpływające na jakość oraz przydatność technologiczną surowców zwierzęcych. Czynniki determinujące cenę surowców pochodzenia zwierzęcego.</w:t>
            </w:r>
          </w:p>
        </w:tc>
      </w:tr>
      <w:tr xmlns:wp14="http://schemas.microsoft.com/office/word/2010/wordml" w:rsidRPr="00021A86" w:rsidR="00D61621" w:rsidTr="2A5245F0" w14:paraId="3DB5DBD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61621" w:rsidP="00D61621" w:rsidRDefault="00D61621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</w:p>
          <w:p w:rsidR="00D61621" w:rsidP="00D61621" w:rsidRDefault="00D61621" w14:paraId="419C14F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>
              <w:rPr>
                <w:sz w:val="16"/>
                <w:szCs w:val="16"/>
              </w:rPr>
              <w:t xml:space="preserve">  30</w:t>
            </w:r>
          </w:p>
          <w:p w:rsidR="00D61621" w:rsidP="00D61621" w:rsidRDefault="00D6162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61621" w:rsidP="00D61621" w:rsidRDefault="00D6162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D61621" w:rsidP="00D61621" w:rsidRDefault="00D6162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D61621" w:rsidP="00D61621" w:rsidRDefault="00D6162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D61621" w:rsidTr="2A5245F0" w14:paraId="6AB5A1E1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07C7" w:rsidR="00D61621" w:rsidP="00D61621" w:rsidRDefault="00D61621" w14:paraId="07D4677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7C7">
              <w:rPr>
                <w:bCs/>
                <w:sz w:val="16"/>
                <w:szCs w:val="16"/>
              </w:rPr>
              <w:t>Wykład, dyskusja, zadania realizowane w grupach, ocena jakości surowców pochodzenia zwierzęcego, konsultacje</w:t>
            </w:r>
          </w:p>
        </w:tc>
      </w:tr>
      <w:tr xmlns:wp14="http://schemas.microsoft.com/office/word/2010/wordml" w:rsidRPr="00021A86" w:rsidR="00D61621" w:rsidTr="2A5245F0" w14:paraId="79DD2A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61621" w:rsidP="00D61621" w:rsidRDefault="00D6162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D61621" w:rsidP="00D61621" w:rsidRDefault="00D6162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07C7" w:rsidR="00D61621" w:rsidP="00D61621" w:rsidRDefault="00D61621" w14:paraId="05877F1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7C7">
              <w:rPr>
                <w:bCs/>
                <w:sz w:val="16"/>
                <w:szCs w:val="16"/>
              </w:rPr>
              <w:t>Wiedza z zakresu chowu i hodowli zwierząt i biochemii</w:t>
            </w:r>
          </w:p>
          <w:p w:rsidRPr="002207C7" w:rsidR="00D61621" w:rsidP="00D61621" w:rsidRDefault="00D61621" w14:paraId="0D0B94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2207C7" w:rsidR="00D61621" w:rsidP="00D61621" w:rsidRDefault="00D61621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61621" w:rsidTr="2A5245F0" w14:paraId="762BDD8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D61621" w:rsidP="00D61621" w:rsidRDefault="00D6162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D61621" w:rsidP="00D61621" w:rsidRDefault="00D6162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D61621" w:rsidP="00D61621" w:rsidRDefault="00D61621" w14:paraId="319E810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7F792A">
              <w:rPr>
                <w:bCs/>
                <w:sz w:val="16"/>
                <w:szCs w:val="16"/>
              </w:rPr>
              <w:t xml:space="preserve"> metody oceny surowców pochodzenia zwierzęcego i czynniki wpływające na ich jakość oraz przydatność technologiczną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D61621" w:rsidP="00D61621" w:rsidRDefault="00D6162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D61621" w:rsidP="00D61621" w:rsidRDefault="00D61621" w14:paraId="35A411A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7F792A">
              <w:rPr>
                <w:bCs/>
                <w:sz w:val="16"/>
                <w:szCs w:val="16"/>
              </w:rPr>
              <w:t xml:space="preserve"> oceniać wpływ wybranych czynników na jakość surowców zwierzęcych i interpretować prawodawstwo w tym zakresie</w:t>
            </w:r>
          </w:p>
          <w:p w:rsidRPr="00021A86" w:rsidR="00D61621" w:rsidP="00D61621" w:rsidRDefault="00D61621" w14:paraId="202698E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bCs/>
                <w:sz w:val="16"/>
                <w:szCs w:val="16"/>
              </w:rPr>
              <w:t xml:space="preserve"> stosować </w:t>
            </w:r>
            <w:r w:rsidRPr="007F792A">
              <w:rPr>
                <w:bCs/>
                <w:sz w:val="16"/>
                <w:szCs w:val="16"/>
              </w:rPr>
              <w:t>podstawowe metody oceny jakości surowców zwierzęcych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D61621" w:rsidP="00D61621" w:rsidRDefault="00D61621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D61621" w:rsidP="00D61621" w:rsidRDefault="00D61621" w14:paraId="60B8A07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7F792A">
              <w:rPr>
                <w:bCs/>
                <w:sz w:val="16"/>
                <w:szCs w:val="16"/>
              </w:rPr>
              <w:t xml:space="preserve"> odpowiedzialności za produkcję żywności wysokiej jakości</w:t>
            </w:r>
          </w:p>
          <w:p w:rsidRPr="00021A86" w:rsidR="00D61621" w:rsidP="00D61621" w:rsidRDefault="00D61621" w14:paraId="0F2A7A3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 – przestrzegania zasad etyki zawodowej</w:t>
            </w:r>
          </w:p>
        </w:tc>
      </w:tr>
      <w:tr xmlns:wp14="http://schemas.microsoft.com/office/word/2010/wordml" w:rsidRPr="00021A86" w:rsidR="00D61621" w:rsidTr="2A5245F0" w14:paraId="68421D44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61621" w:rsidP="00D61621" w:rsidRDefault="00D61621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61621" w:rsidR="00D61621" w:rsidP="00D61621" w:rsidRDefault="00D61621" w14:paraId="094FADE6" wp14:textId="77777777">
            <w:pPr>
              <w:spacing w:line="276" w:lineRule="auto"/>
              <w:ind w:left="357"/>
              <w:jc w:val="both"/>
              <w:rPr>
                <w:rFonts w:ascii="Arial" w:hAnsi="Arial" w:eastAsia="Calibri" w:cs="Arial"/>
                <w:sz w:val="16"/>
                <w:szCs w:val="16"/>
              </w:rPr>
            </w:pPr>
            <w:r w:rsidRPr="00D61621">
              <w:rPr>
                <w:rFonts w:ascii="Arial" w:hAnsi="Arial" w:eastAsia="Calibri" w:cs="Arial"/>
                <w:sz w:val="16"/>
                <w:szCs w:val="16"/>
              </w:rPr>
              <w:t>01, 02, 03, 04 – egzamin pisemny</w:t>
            </w:r>
          </w:p>
          <w:p w:rsidRPr="007F792A" w:rsidR="00D61621" w:rsidP="00D61621" w:rsidRDefault="00D61621" w14:paraId="5B018CBF" wp14:textId="77777777">
            <w:pPr>
              <w:spacing w:line="240" w:lineRule="auto"/>
              <w:jc w:val="both"/>
              <w:rPr>
                <w:sz w:val="16"/>
              </w:rPr>
            </w:pPr>
            <w:r w:rsidRPr="00D61621">
              <w:rPr>
                <w:rFonts w:ascii="Arial" w:hAnsi="Arial" w:eastAsia="Calibri" w:cs="Arial"/>
                <w:sz w:val="16"/>
                <w:szCs w:val="16"/>
              </w:rPr>
              <w:t>03, 04, 05  - zadania wykonywane na zajęciach ćwiczeniowych</w:t>
            </w:r>
          </w:p>
        </w:tc>
      </w:tr>
      <w:tr xmlns:wp14="http://schemas.microsoft.com/office/word/2010/wordml" w:rsidRPr="00021A86" w:rsidR="00D61621" w:rsidTr="2A5245F0" w14:paraId="367ED419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61621" w:rsidP="00D61621" w:rsidRDefault="00D61621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D61621" w:rsidP="00D61621" w:rsidRDefault="00D61621" w14:paraId="7EDB3ACD" wp14:textId="77777777">
            <w:pPr>
              <w:spacing w:line="240" w:lineRule="auto"/>
              <w:jc w:val="both"/>
              <w:rPr>
                <w:sz w:val="16"/>
              </w:rPr>
            </w:pPr>
            <w:r w:rsidRPr="00DD7AF1">
              <w:rPr>
                <w:rFonts w:ascii="Arial" w:hAnsi="Arial" w:cs="Arial"/>
                <w:sz w:val="16"/>
                <w:szCs w:val="16"/>
              </w:rPr>
              <w:t xml:space="preserve">Egzamin,  sprawozdania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 w:rsidRPr="00DD7AF1">
              <w:rPr>
                <w:rFonts w:ascii="Arial" w:hAnsi="Arial" w:cs="Arial"/>
                <w:sz w:val="16"/>
                <w:szCs w:val="16"/>
              </w:rPr>
              <w:t xml:space="preserve"> listy obecności na ćwiczeniach</w:t>
            </w:r>
          </w:p>
        </w:tc>
      </w:tr>
      <w:tr xmlns:wp14="http://schemas.microsoft.com/office/word/2010/wordml" w:rsidRPr="00021A86" w:rsidR="00D61621" w:rsidTr="2A5245F0" w14:paraId="723B532E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61621" w:rsidP="00D61621" w:rsidRDefault="00D61621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D61621" w:rsidP="00D61621" w:rsidRDefault="00D61621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D61621" w:rsidP="00D61621" w:rsidRDefault="00D61621" w14:paraId="584CB8A6" wp14:textId="77777777">
            <w:pPr>
              <w:spacing w:line="240" w:lineRule="auto"/>
              <w:jc w:val="both"/>
              <w:rPr>
                <w:sz w:val="16"/>
              </w:rPr>
            </w:pPr>
            <w:r w:rsidRPr="007F792A">
              <w:rPr>
                <w:sz w:val="16"/>
              </w:rPr>
              <w:t>egzamin – 100%  (aby przystąpić do egzaminu należy mieć zaliczone zadania)</w:t>
            </w:r>
          </w:p>
        </w:tc>
      </w:tr>
      <w:tr xmlns:wp14="http://schemas.microsoft.com/office/word/2010/wordml" w:rsidRPr="00021A86" w:rsidR="00D61621" w:rsidTr="2A5245F0" w14:paraId="5330D97E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D61621" w:rsidP="00D61621" w:rsidRDefault="00D61621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F792A" w:rsidR="00D61621" w:rsidP="00D61621" w:rsidRDefault="00D61621" w14:paraId="3618C69C" wp14:textId="77777777">
            <w:pPr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Sala dydaktyczna, l</w:t>
            </w:r>
            <w:r w:rsidRPr="007F792A">
              <w:rPr>
                <w:sz w:val="16"/>
              </w:rPr>
              <w:t xml:space="preserve">aboratoria </w:t>
            </w:r>
          </w:p>
        </w:tc>
      </w:tr>
      <w:tr xmlns:wp14="http://schemas.microsoft.com/office/word/2010/wordml" w:rsidRPr="00021A86" w:rsidR="00D61621" w:rsidTr="2A5245F0" w14:paraId="4BC348F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B4BFA" w:rsidR="00D61621" w:rsidP="5870F89F" w:rsidRDefault="00D61621" w14:paraId="092100F1" wp14:textId="7933B51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Literatura podstawowa i uzupełniająca:</w:t>
            </w:r>
          </w:p>
          <w:p w:rsidRPr="003B4BFA" w:rsidR="00D61621" w:rsidP="5870F89F" w:rsidRDefault="00D61621" w14:paraId="146FF911" wp14:textId="2A88CC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Analiza jakości surowca mięsnego. Praca zbiorowa pod red. B. Kuczyńskiej Wydawnictwo SGGW, 2022</w:t>
            </w:r>
          </w:p>
          <w:p w:rsidRPr="003B4BFA" w:rsidR="00D61621" w:rsidP="5870F89F" w:rsidRDefault="00D61621" w14:paraId="7D891903" wp14:textId="59F390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Surowce zwierzęce ocena i wykorzystanie. Praca zbiorowa pod red. Z. Litwińczuka, Państwowe Wydawnictwo Rolne i Leśne, 2004.</w:t>
            </w:r>
          </w:p>
          <w:p w:rsidRPr="003B4BFA" w:rsidR="00D61621" w:rsidP="5870F89F" w:rsidRDefault="00D61621" w14:paraId="36EAB15C" wp14:textId="1537A01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Jurczak M. E. Mleko produkcja, badanie, przerób. Wydawnictwo SGGW, 2003.</w:t>
            </w:r>
          </w:p>
          <w:p w:rsidRPr="003B4BFA" w:rsidR="00D61621" w:rsidP="5870F89F" w:rsidRDefault="00D61621" w14:paraId="1DB53FA9" wp14:textId="14D4AF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Jurczak M.E. Towaroznawstwo produktów zwierzęcych. Ocena jakości mięsa., Wydawnictwo SGGW, 2005</w:t>
            </w:r>
          </w:p>
          <w:p w:rsidRPr="003B4BFA" w:rsidR="00D61621" w:rsidP="5870F89F" w:rsidRDefault="00D61621" w14:paraId="64BC7FF1" wp14:textId="50BB22B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Jajczarstwo.  Praca zbiorowa pod red. T. Trziszki, Wydawnictwo. Akademii Rolniczej we Wrocławiu, 2000</w:t>
            </w:r>
          </w:p>
          <w:p w:rsidRPr="003B4BFA" w:rsidR="00D61621" w:rsidP="5870F89F" w:rsidRDefault="00D61621" w14:paraId="5E6D90EC" wp14:textId="6BE8D79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Przetwórstwo mięsa drobiu – podstawy biologiczne i technologiczne. Praca zbiorowa pod red. T. Smolińskiej i W. Kopcia, Wydawnictwo Uniwersytetu Przyrodniczego we Wrocławiu, 2009</w:t>
            </w:r>
          </w:p>
          <w:p w:rsidRPr="003B4BFA" w:rsidR="00D61621" w:rsidP="5870F89F" w:rsidRDefault="00D61621" w14:paraId="251D0ED7" wp14:textId="5A1DD4C9">
            <w:pPr>
              <w:spacing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 xml:space="preserve">Czasopisma branżowe: </w:t>
            </w:r>
            <w:proofErr w:type="spellStart"/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Przęgląd</w:t>
            </w:r>
            <w:proofErr w:type="spellEnd"/>
            <w:r w:rsidRPr="5870F89F" w:rsidR="5870F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 xml:space="preserve"> Hodowlany, Przegląd Mleczarski, Przemysł Spożywczy, Rynek Mleka, Drobiarstwo itp.</w:t>
            </w:r>
          </w:p>
        </w:tc>
      </w:tr>
      <w:tr xmlns:wp14="http://schemas.microsoft.com/office/word/2010/wordml" w:rsidRPr="00021A86" w:rsidR="00D61621" w:rsidTr="2A5245F0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D61621" w:rsidP="00D61621" w:rsidRDefault="00D61621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D61621" w:rsidP="00D61621" w:rsidRDefault="00D61621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4EAFD9C" wp14:textId="77777777">
      <w:pPr>
        <w:rPr>
          <w:sz w:val="16"/>
        </w:rPr>
      </w:pPr>
      <w:bookmarkStart w:name="_GoBack" w:id="0"/>
      <w:bookmarkEnd w:id="0"/>
      <w:r>
        <w:rPr>
          <w:sz w:val="16"/>
        </w:rPr>
        <w:lastRenderedPageBreak/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FCE42F6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B4BFA" w14:paraId="0D75828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B4BFA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4D5A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DEEC669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3B4BFA" w:rsidTr="003F39E9" w14:paraId="63CFCA13" wp14:textId="77777777">
        <w:tc>
          <w:tcPr>
            <w:tcW w:w="1547" w:type="dxa"/>
          </w:tcPr>
          <w:p w:rsidRPr="00021A86" w:rsidR="003B4BFA" w:rsidP="006478A0" w:rsidRDefault="003B4BFA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3B4BFA" w14:paraId="0EB04C6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 xml:space="preserve">metody oceny surowców pochodzenia zwierzęcego i czynniki wpływające na ich jakość oraz przydatność technologiczną </w:t>
            </w:r>
          </w:p>
        </w:tc>
        <w:tc>
          <w:tcPr>
            <w:tcW w:w="3001" w:type="dxa"/>
          </w:tcPr>
          <w:p w:rsidRPr="00021A86" w:rsidR="003B4BFA" w:rsidP="006478A0" w:rsidRDefault="007F792A" w14:paraId="38CA2EE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Pr="00021A86" w:rsidR="003B4BFA" w:rsidP="006478A0" w:rsidRDefault="007F792A" w14:paraId="5FCD5EC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021A86" w:rsidR="003B4BFA" w:rsidTr="003F39E9" w14:paraId="3656B9AB" wp14:textId="77777777">
        <w:tc>
          <w:tcPr>
            <w:tcW w:w="1547" w:type="dxa"/>
          </w:tcPr>
          <w:p w:rsidRPr="00021A86" w:rsidR="003B4BFA" w:rsidP="006478A0" w:rsidRDefault="003B4BFA" w14:paraId="45FB081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vAlign w:val="center"/>
          </w:tcPr>
          <w:p w:rsidRPr="007F792A" w:rsidR="003B4BFA" w:rsidP="007F792A" w:rsidRDefault="003B4BFA" w14:paraId="049F31C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B4BFA" w:rsidP="006478A0" w:rsidRDefault="003B4BFA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B4BFA" w:rsidP="006478A0" w:rsidRDefault="003B4BFA" w14:paraId="62486C0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4BFA" w:rsidTr="003F39E9" w14:paraId="1B147FC1" wp14:textId="77777777">
        <w:tc>
          <w:tcPr>
            <w:tcW w:w="1547" w:type="dxa"/>
          </w:tcPr>
          <w:p w:rsidRPr="00021A86" w:rsidR="003B4BFA" w:rsidP="006478A0" w:rsidRDefault="003B4BFA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7F792A" w14:paraId="466BD4A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>oceniać wpływ wybranych czynników na jakość surowców zwierzęcych i interpretować prawodawstwo w tym zakresie</w:t>
            </w:r>
          </w:p>
        </w:tc>
        <w:tc>
          <w:tcPr>
            <w:tcW w:w="3001" w:type="dxa"/>
          </w:tcPr>
          <w:p w:rsidRPr="00021A86" w:rsidR="003B4BFA" w:rsidP="006478A0" w:rsidRDefault="007F792A" w14:paraId="1A5D6DC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Pr="00021A86" w:rsidR="003B4BFA" w:rsidP="006478A0" w:rsidRDefault="007F792A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3F39E9" w14:paraId="5FCB662E" wp14:textId="77777777">
        <w:tc>
          <w:tcPr>
            <w:tcW w:w="1547" w:type="dxa"/>
          </w:tcPr>
          <w:p w:rsidRPr="00021A86" w:rsidR="003B4BFA" w:rsidP="006478A0" w:rsidRDefault="003B4BFA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vAlign w:val="center"/>
          </w:tcPr>
          <w:p w:rsidRPr="007F792A" w:rsidR="003B4BFA" w:rsidP="007F792A" w:rsidRDefault="002207C7" w14:paraId="1429A3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stosować </w:t>
            </w:r>
            <w:r w:rsidRPr="007F792A" w:rsidR="003B4BFA">
              <w:rPr>
                <w:bCs/>
                <w:sz w:val="16"/>
                <w:szCs w:val="16"/>
              </w:rPr>
              <w:t>podstawowe metody oceny jakości surowców zwierzęcych</w:t>
            </w:r>
          </w:p>
        </w:tc>
        <w:tc>
          <w:tcPr>
            <w:tcW w:w="3001" w:type="dxa"/>
          </w:tcPr>
          <w:p w:rsidRPr="00021A86" w:rsidR="003B4BFA" w:rsidP="006478A0" w:rsidRDefault="007F792A" w14:paraId="257BAC8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Pr="00021A86" w:rsidR="003B4BFA" w:rsidP="006478A0" w:rsidRDefault="007F792A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93211F" w14:paraId="4101652C" wp14:textId="77777777">
        <w:tc>
          <w:tcPr>
            <w:tcW w:w="1547" w:type="dxa"/>
          </w:tcPr>
          <w:p w:rsidRPr="00021A86" w:rsidR="003B4BFA" w:rsidP="006478A0" w:rsidRDefault="003B4BFA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3B4BFA" w:rsidP="007F792A" w:rsidRDefault="003B4BFA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B4BFA" w:rsidP="006478A0" w:rsidRDefault="003B4BFA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B4BFA" w:rsidP="006478A0" w:rsidRDefault="003B4BFA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4BFA" w:rsidTr="0093211F" w14:paraId="54F3A83F" wp14:textId="77777777">
        <w:tc>
          <w:tcPr>
            <w:tcW w:w="1547" w:type="dxa"/>
          </w:tcPr>
          <w:p w:rsidRPr="00021A86" w:rsidR="003B4BFA" w:rsidP="006478A0" w:rsidRDefault="003B4BF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3B4BFA" w:rsidP="007F792A" w:rsidRDefault="007F792A" w14:paraId="2E7D24A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F792A">
              <w:rPr>
                <w:bCs/>
                <w:sz w:val="16"/>
                <w:szCs w:val="16"/>
              </w:rPr>
              <w:t>odpowiedzialności</w:t>
            </w:r>
            <w:r w:rsidRPr="007F792A" w:rsidR="003B4BFA">
              <w:rPr>
                <w:bCs/>
                <w:sz w:val="16"/>
                <w:szCs w:val="16"/>
              </w:rPr>
              <w:t xml:space="preserve"> za produkcję żywności</w:t>
            </w:r>
            <w:r w:rsidRPr="007F792A">
              <w:rPr>
                <w:bCs/>
                <w:sz w:val="16"/>
                <w:szCs w:val="16"/>
              </w:rPr>
              <w:t xml:space="preserve"> wysokiej jakości</w:t>
            </w:r>
          </w:p>
        </w:tc>
        <w:tc>
          <w:tcPr>
            <w:tcW w:w="3001" w:type="dxa"/>
          </w:tcPr>
          <w:p w:rsidRPr="00021A86" w:rsidR="003B4BFA" w:rsidP="006478A0" w:rsidRDefault="007F792A" w14:paraId="69B49A1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Pr="00021A86" w:rsidR="003B4BFA" w:rsidP="006478A0" w:rsidRDefault="00D606E0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4BFA" w:rsidTr="0093211F" w14:paraId="5C3B4EEC" wp14:textId="77777777">
        <w:tc>
          <w:tcPr>
            <w:tcW w:w="1547" w:type="dxa"/>
          </w:tcPr>
          <w:p w:rsidRPr="00021A86" w:rsidR="003B4BFA" w:rsidP="006478A0" w:rsidRDefault="00C91F8F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021A86" w:rsidR="003B4BFA" w:rsidP="006478A0" w:rsidRDefault="00C91F8F" w14:paraId="191FEC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Pr="00021A86" w:rsidR="003B4BFA" w:rsidP="006478A0" w:rsidRDefault="00C91F8F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Pr="00021A86" w:rsidR="003B4BFA" w:rsidP="006478A0" w:rsidRDefault="00C91F8F" w14:paraId="0B77815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p xmlns:wp14="http://schemas.microsoft.com/office/word/2010/wordml" w:rsidR="0093211F" w:rsidP="0093211F" w:rsidRDefault="0093211F" w14:paraId="3CF2D8B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FB78278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147CA" w:rsidP="002C0CA5" w:rsidRDefault="006147CA" w14:paraId="1FC3994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147CA" w:rsidP="002C0CA5" w:rsidRDefault="006147CA" w14:paraId="0562CB0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147CA" w:rsidP="002C0CA5" w:rsidRDefault="006147CA" w14:paraId="34CE0A4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147CA" w:rsidP="002C0CA5" w:rsidRDefault="006147CA" w14:paraId="62EBF3C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6cef9c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D5098"/>
    <w:multiLevelType w:val="hybridMultilevel"/>
    <w:tmpl w:val="9B6CED6E"/>
    <w:lvl w:ilvl="0" w:tplc="364C6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67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4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6C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258E4"/>
    <w:rsid w:val="000834BC"/>
    <w:rsid w:val="000C4232"/>
    <w:rsid w:val="0012460E"/>
    <w:rsid w:val="00125A97"/>
    <w:rsid w:val="00155311"/>
    <w:rsid w:val="001B7617"/>
    <w:rsid w:val="001F23E3"/>
    <w:rsid w:val="00207BBF"/>
    <w:rsid w:val="002207C7"/>
    <w:rsid w:val="002643D8"/>
    <w:rsid w:val="00295DC6"/>
    <w:rsid w:val="002C0CA5"/>
    <w:rsid w:val="00326357"/>
    <w:rsid w:val="00341D25"/>
    <w:rsid w:val="0036131B"/>
    <w:rsid w:val="003931BC"/>
    <w:rsid w:val="003A5151"/>
    <w:rsid w:val="003B4BFA"/>
    <w:rsid w:val="003B680D"/>
    <w:rsid w:val="0042563D"/>
    <w:rsid w:val="0045589C"/>
    <w:rsid w:val="00456A7D"/>
    <w:rsid w:val="0046376C"/>
    <w:rsid w:val="004B7E16"/>
    <w:rsid w:val="004F5168"/>
    <w:rsid w:val="005031F1"/>
    <w:rsid w:val="0056214B"/>
    <w:rsid w:val="0057587C"/>
    <w:rsid w:val="006147CA"/>
    <w:rsid w:val="006674DC"/>
    <w:rsid w:val="006C766B"/>
    <w:rsid w:val="0072568B"/>
    <w:rsid w:val="00731D2B"/>
    <w:rsid w:val="00735F91"/>
    <w:rsid w:val="007471BD"/>
    <w:rsid w:val="007934BC"/>
    <w:rsid w:val="007D736E"/>
    <w:rsid w:val="007F792A"/>
    <w:rsid w:val="00802EC8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A2F87"/>
    <w:rsid w:val="009B21A4"/>
    <w:rsid w:val="009E322B"/>
    <w:rsid w:val="009E71F1"/>
    <w:rsid w:val="00A43564"/>
    <w:rsid w:val="00A466BD"/>
    <w:rsid w:val="00A65904"/>
    <w:rsid w:val="00B27029"/>
    <w:rsid w:val="00B2721F"/>
    <w:rsid w:val="00C21BE1"/>
    <w:rsid w:val="00C91F8F"/>
    <w:rsid w:val="00CD0414"/>
    <w:rsid w:val="00D06568"/>
    <w:rsid w:val="00D606E0"/>
    <w:rsid w:val="00D61621"/>
    <w:rsid w:val="00D619B8"/>
    <w:rsid w:val="00DF60BC"/>
    <w:rsid w:val="00E14D0E"/>
    <w:rsid w:val="00E43675"/>
    <w:rsid w:val="00E43AC0"/>
    <w:rsid w:val="00E5674E"/>
    <w:rsid w:val="00EB7B89"/>
    <w:rsid w:val="00ED11F9"/>
    <w:rsid w:val="00EE4F54"/>
    <w:rsid w:val="00F17173"/>
    <w:rsid w:val="00FB2DB7"/>
    <w:rsid w:val="2A5245F0"/>
    <w:rsid w:val="5870F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1F52"/>
  <w15:docId w15:val="{E4483F77-0AD8-4C70-BBFC-AE3574FF2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12</revision>
  <lastPrinted>2019-03-18T08:34:00.0000000Z</lastPrinted>
  <dcterms:created xsi:type="dcterms:W3CDTF">2019-04-09T09:41:00.0000000Z</dcterms:created>
  <dcterms:modified xsi:type="dcterms:W3CDTF">2022-09-19T18:21:24.6738753Z</dcterms:modified>
</coreProperties>
</file>