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2412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7CEC035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98F73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20D823" w14:textId="77777777" w:rsidR="00B30AEC" w:rsidRPr="004F07EF" w:rsidRDefault="000E1D3B" w:rsidP="00B30AEC">
            <w:pPr>
              <w:rPr>
                <w:sz w:val="16"/>
                <w:szCs w:val="18"/>
              </w:rPr>
            </w:pPr>
            <w:r w:rsidRPr="000E1D3B">
              <w:rPr>
                <w:sz w:val="20"/>
                <w:szCs w:val="18"/>
              </w:rPr>
              <w:t>Projektowanie badań modelowych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109ABE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0D57BE" w14:textId="77777777" w:rsidR="00B30AEC" w:rsidRPr="00AA4CF2" w:rsidRDefault="000E1D3B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0AEC" w:rsidRPr="004F07EF" w14:paraId="345552FB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54A03D8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3822F18" w14:textId="77777777" w:rsidR="00B30AEC" w:rsidRPr="004F07EF" w:rsidRDefault="000E1D3B" w:rsidP="00196C1B">
            <w:pPr>
              <w:rPr>
                <w:sz w:val="16"/>
                <w:szCs w:val="18"/>
              </w:rPr>
            </w:pPr>
            <w:proofErr w:type="spellStart"/>
            <w:r w:rsidRPr="000E1D3B">
              <w:rPr>
                <w:sz w:val="16"/>
                <w:szCs w:val="18"/>
              </w:rPr>
              <w:t>Designing</w:t>
            </w:r>
            <w:proofErr w:type="spellEnd"/>
            <w:r w:rsidRPr="000E1D3B">
              <w:rPr>
                <w:sz w:val="16"/>
                <w:szCs w:val="18"/>
              </w:rPr>
              <w:t xml:space="preserve"> the model </w:t>
            </w:r>
            <w:proofErr w:type="spellStart"/>
            <w:r w:rsidRPr="000E1D3B">
              <w:rPr>
                <w:sz w:val="16"/>
                <w:szCs w:val="18"/>
              </w:rPr>
              <w:t>researches</w:t>
            </w:r>
            <w:proofErr w:type="spellEnd"/>
          </w:p>
        </w:tc>
      </w:tr>
      <w:tr w:rsidR="00B30AEC" w:rsidRPr="004F07EF" w14:paraId="42D6168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85D47E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C8F4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14459AF4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B0360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D348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0B9FBBD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D56500B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4981D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6064E99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2B02205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799986B8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9F6FCB5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9630D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1169C583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1CAF9A0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2D72A19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1376B2B0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1C6DB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7E26A3E2" w14:textId="77777777" w:rsidR="00B30AEC" w:rsidRPr="004F07EF" w:rsidRDefault="00B30AEC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B6A1D9F" w14:textId="77777777" w:rsidR="00B30AEC" w:rsidRPr="004F07EF" w:rsidRDefault="00B30AEC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3F0E1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20FF34CE" w14:textId="77777777" w:rsidR="00B30AEC" w:rsidRPr="004F07EF" w:rsidRDefault="004B03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25D8C309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D2306A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9817D1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0D68771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16BDB6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78C9C8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E1CF41" w14:textId="77777777" w:rsidR="00B30AEC" w:rsidRPr="004F07EF" w:rsidRDefault="00FD66CB" w:rsidP="005473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5473C6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3F0E11">
              <w:rPr>
                <w:sz w:val="16"/>
                <w:szCs w:val="16"/>
              </w:rPr>
              <w:t>4L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2644FE">
              <w:rPr>
                <w:sz w:val="16"/>
                <w:szCs w:val="16"/>
              </w:rPr>
              <w:t>4</w:t>
            </w:r>
            <w:r w:rsidR="005473C6">
              <w:rPr>
                <w:sz w:val="16"/>
                <w:szCs w:val="16"/>
              </w:rPr>
              <w:t>_19</w:t>
            </w:r>
          </w:p>
        </w:tc>
      </w:tr>
      <w:tr w:rsidR="00B30AEC" w:rsidRPr="004F07EF" w14:paraId="45D432C7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F029F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2B08B2A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ACCBCA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2F9E0" w14:textId="77777777" w:rsidR="00B30AEC" w:rsidRPr="004F07EF" w:rsidRDefault="002819CC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hab. Maciej Kamaszewski, prof. SGGW</w:t>
            </w:r>
          </w:p>
        </w:tc>
      </w:tr>
      <w:tr w:rsidR="00B30AEC" w:rsidRPr="004F07EF" w14:paraId="289B196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BABE49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2B589" w14:textId="7653B306" w:rsidR="00B30AEC" w:rsidRPr="004F07EF" w:rsidRDefault="002819CC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hab. Maciej Kamaszewski, prof. SGGW, prof. dr hab. Anna Rekiel, dr hab. Robert Głogowski, prof. SGGW, dr hab. Tadeusz Kaleta, prof. SGGW, dr Katarzyna </w:t>
            </w:r>
            <w:proofErr w:type="spellStart"/>
            <w:r>
              <w:rPr>
                <w:sz w:val="16"/>
                <w:szCs w:val="18"/>
              </w:rPr>
              <w:t>Fiszdom</w:t>
            </w:r>
            <w:proofErr w:type="spellEnd"/>
            <w:r>
              <w:rPr>
                <w:sz w:val="16"/>
                <w:szCs w:val="18"/>
              </w:rPr>
              <w:t xml:space="preserve">, dr Beata Grzegrzółka, mgr Hubert </w:t>
            </w:r>
            <w:proofErr w:type="spellStart"/>
            <w:r>
              <w:rPr>
                <w:sz w:val="16"/>
                <w:szCs w:val="18"/>
              </w:rPr>
              <w:t>Szudrowicz</w:t>
            </w:r>
            <w:proofErr w:type="spellEnd"/>
            <w:r>
              <w:rPr>
                <w:sz w:val="16"/>
                <w:szCs w:val="18"/>
              </w:rPr>
              <w:t xml:space="preserve">, mgr Julia </w:t>
            </w:r>
            <w:proofErr w:type="spellStart"/>
            <w:r>
              <w:rPr>
                <w:sz w:val="16"/>
                <w:szCs w:val="18"/>
              </w:rPr>
              <w:t>Maciocha</w:t>
            </w:r>
            <w:proofErr w:type="spellEnd"/>
          </w:p>
        </w:tc>
      </w:tr>
      <w:tr w:rsidR="00B30AEC" w:rsidRPr="004F07EF" w14:paraId="15283FB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29FC40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F04CF" w14:textId="77777777" w:rsidR="00B30AEC" w:rsidRPr="004F07EF" w:rsidRDefault="002819C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Jednostki Instytutu Nauk o Zwierzętach</w:t>
            </w:r>
          </w:p>
        </w:tc>
      </w:tr>
      <w:tr w:rsidR="00B30AEC" w:rsidRPr="004F07EF" w14:paraId="572BD67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20D9AC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69EF" w14:textId="77777777" w:rsidR="00B30AEC" w:rsidRPr="004F07EF" w:rsidRDefault="00F4542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F45425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6386BDE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7D012A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8BF67" w14:textId="77777777"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 w:rsidR="004B0305">
              <w:t xml:space="preserve">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 xml:space="preserve">Celem nauczania przedmiotu jest zapoznanie studentów z biologią gatunków zwierząt modelowych, ich hodowlą i chowem oraz zasadami utrzymania, jak też zapoznanie z warunkami usytuowania i wyposażenia zwierzętarni, standaryzacją środowiskową i genetyczną oraz regulacjami prawnymi hodowli i wykorzystania zwierząt modelowych w eksperymentach.    </w:t>
            </w:r>
          </w:p>
          <w:p w14:paraId="11839C60" w14:textId="77777777" w:rsidR="002644FE" w:rsidRPr="002644FE" w:rsidRDefault="00611C9B" w:rsidP="002644FE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4B0305">
              <w:t xml:space="preserve"> </w:t>
            </w:r>
            <w:r w:rsidR="002644FE">
              <w:t xml:space="preserve"> </w:t>
            </w:r>
            <w:r w:rsidR="002644FE" w:rsidRPr="002644FE">
              <w:rPr>
                <w:iCs/>
                <w:sz w:val="16"/>
                <w:szCs w:val="16"/>
              </w:rPr>
              <w:t xml:space="preserve">Wykłady: Historia badań prowadzonych na zwierzętach. Pojęcie zwierzę modelowe /zwierzę laboratoryjne, zwierzę doświadczalne/. Właściwości i cechy organizmów modelowych jako obiektów badawczych. Gatunki zwierząt modelowych i ich biologia: mysz laboratoryjna, szczur laboratoryjny, </w:t>
            </w:r>
            <w:proofErr w:type="spellStart"/>
            <w:r w:rsidR="002644FE" w:rsidRPr="002644FE">
              <w:rPr>
                <w:iCs/>
                <w:sz w:val="16"/>
                <w:szCs w:val="16"/>
              </w:rPr>
              <w:t>myszoskoczek</w:t>
            </w:r>
            <w:proofErr w:type="spellEnd"/>
            <w:r w:rsidR="002644FE" w:rsidRPr="002644FE">
              <w:rPr>
                <w:iCs/>
                <w:sz w:val="16"/>
                <w:szCs w:val="16"/>
              </w:rPr>
              <w:t xml:space="preserve"> mongolski, afrykańska mysz kolczasta, chomik syryjski, chomik dżungarski, świnka morska, królik miniaturowy, świnia miniaturowa, przepiórka japońska, oraz skąposzczety glebowe, ryby, naczelne. Dobór zwierząt do badań. Etyczne, społeczne, prawne i religijne aspekty prowadzenia doświadczeń na zwierzętach i ich wykorzystania na potrzeby człowieka. Regulacje prawne. Dobrostan. Wykorzystanie alternatywnych metod badań; zwierzęta hodowlanej jako bioreaktory: mleko, mocz, nasienie. Wykorzystanie zwierząt modelowych w biotechnologii i medycynie - najnowsze osiągnięcia naukowo-badawcze /ssaki, ptaki, ryby/. </w:t>
            </w:r>
          </w:p>
          <w:p w14:paraId="0112CD12" w14:textId="238BFFB4" w:rsidR="002644FE" w:rsidRPr="002644FE" w:rsidRDefault="002644FE" w:rsidP="002644FE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2644FE">
              <w:rPr>
                <w:iCs/>
                <w:sz w:val="16"/>
                <w:szCs w:val="16"/>
              </w:rPr>
              <w:t xml:space="preserve">Ćwiczenia: Standaryzacja genetyczna – szczepy wsobne, stada </w:t>
            </w:r>
            <w:proofErr w:type="spellStart"/>
            <w:r w:rsidRPr="002644FE">
              <w:rPr>
                <w:iCs/>
                <w:sz w:val="16"/>
                <w:szCs w:val="16"/>
              </w:rPr>
              <w:t>outbredowe</w:t>
            </w:r>
            <w:proofErr w:type="spellEnd"/>
            <w:r w:rsidRPr="002644FE">
              <w:rPr>
                <w:iCs/>
                <w:sz w:val="16"/>
                <w:szCs w:val="16"/>
              </w:rPr>
              <w:t xml:space="preserve">, GMO. Typy zwierzętarni, ich wyposażenie i obsługa. Standaryzacja środowiskowa. Zwierzęta GN, SPF i CV – ich znaczenie i wykorzystanie w badaniach biologicznych. Chów i hodowla zwierząt modelowych /ssaki, ptaki, ryby/; rozród, żywienie, utrzymanie, badania.  </w:t>
            </w:r>
            <w:r>
              <w:rPr>
                <w:iCs/>
                <w:sz w:val="16"/>
                <w:szCs w:val="16"/>
              </w:rPr>
              <w:t xml:space="preserve">Zwierzętarnia - </w:t>
            </w:r>
            <w:r w:rsidRPr="002644FE">
              <w:rPr>
                <w:iCs/>
                <w:sz w:val="16"/>
                <w:szCs w:val="16"/>
              </w:rPr>
              <w:t>Wyposażenie zwierzętarni. Zasady utrzymania standardów środowiskowych. Manipulacja ze zwierzętami, rozpoznawanie płci, znakowanie. Przeprowadzanie kojarzenia, monitoring i odchów. Przykładowe badania na zwierzętach.</w:t>
            </w:r>
            <w:r>
              <w:rPr>
                <w:iCs/>
                <w:sz w:val="16"/>
                <w:szCs w:val="16"/>
              </w:rPr>
              <w:t xml:space="preserve"> Projekt - </w:t>
            </w:r>
            <w:r w:rsidRPr="002644FE">
              <w:rPr>
                <w:iCs/>
                <w:sz w:val="16"/>
                <w:szCs w:val="16"/>
              </w:rPr>
              <w:t>Działanie Komisji Etycznej i przygotowywanie wniosku. Przygotowanie, przeprowadzenie i analiza doświadczeń na zwierzętach</w:t>
            </w:r>
            <w:r w:rsidR="000D6316">
              <w:rPr>
                <w:iCs/>
                <w:sz w:val="16"/>
                <w:szCs w:val="16"/>
              </w:rPr>
              <w:t>, przygotowanie projekty z wykorzystaniem zwierząt modelowych</w:t>
            </w:r>
            <w:r w:rsidRPr="002644FE">
              <w:rPr>
                <w:iCs/>
                <w:sz w:val="16"/>
                <w:szCs w:val="16"/>
              </w:rPr>
              <w:t xml:space="preserve"> /myszy, ryby/.</w:t>
            </w:r>
          </w:p>
          <w:p w14:paraId="4951D5E0" w14:textId="77777777" w:rsidR="00B30AEC" w:rsidRPr="004F07EF" w:rsidRDefault="00B30AEC" w:rsidP="002644F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30AEC" w:rsidRPr="004F07EF" w14:paraId="0AE03AF6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3302FD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74A28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4B0305">
              <w:rPr>
                <w:sz w:val="16"/>
                <w:szCs w:val="16"/>
              </w:rPr>
              <w:t>30</w:t>
            </w:r>
          </w:p>
          <w:p w14:paraId="6ED4A337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  <w:r w:rsidR="002644FE">
              <w:rPr>
                <w:sz w:val="16"/>
                <w:szCs w:val="16"/>
              </w:rPr>
              <w:t>30</w:t>
            </w:r>
          </w:p>
          <w:p w14:paraId="6E866825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</w:p>
          <w:p w14:paraId="35563453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14:paraId="472228BF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14:paraId="04820401" w14:textId="77777777" w:rsidR="00B30AEC" w:rsidRPr="004F07EF" w:rsidRDefault="00B30AEC" w:rsidP="00EF6E9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14:paraId="4674C5B4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742A35E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293D" w14:textId="77777777" w:rsidR="00B30AEC" w:rsidRPr="004F07EF" w:rsidRDefault="002644FE" w:rsidP="001F2A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Wykład, dyskusja, studium przypadku, gry symulacyjne, projekt, konsultacje</w:t>
            </w:r>
          </w:p>
        </w:tc>
      </w:tr>
      <w:tr w:rsidR="00B30AEC" w:rsidRPr="004F07EF" w14:paraId="6D6DB06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8D15B3E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62A60C9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2B52" w14:textId="77777777" w:rsidR="00B30AEC" w:rsidRPr="00C52862" w:rsidRDefault="002644FE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Zoologia ogólna, fizjologia zwierząt, histologia i  embriologia, anatomia zwierząt, genetyka zwierząt,</w:t>
            </w:r>
          </w:p>
        </w:tc>
      </w:tr>
      <w:tr w:rsidR="00B30AEC" w:rsidRPr="004F07EF" w14:paraId="5BD3817A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2415EB97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7FBB6ED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0EA58F59" w14:textId="77777777"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BC499C">
              <w:t xml:space="preserve">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>definicję, przykłady i zastosowanie zwierząt modelowych</w:t>
            </w:r>
            <w:r w:rsidR="002644FE">
              <w:rPr>
                <w:sz w:val="16"/>
                <w:szCs w:val="16"/>
              </w:rPr>
              <w:t xml:space="preserve"> oraz zasady standaryzacji genetycznej</w:t>
            </w:r>
          </w:p>
          <w:p w14:paraId="0078F685" w14:textId="77777777"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="004B0305">
              <w:t xml:space="preserve">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>zasady projektowania doświadczeń z udziałem zwierząt</w:t>
            </w:r>
          </w:p>
          <w:p w14:paraId="3B95EDBC" w14:textId="77777777"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1CE1F97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5B9E9E13" w14:textId="77777777"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>zaplanować i przeprowadzić proste doświadczenie na zwierzętach</w:t>
            </w:r>
          </w:p>
          <w:p w14:paraId="6F231DE9" w14:textId="77777777" w:rsidR="00333830" w:rsidRPr="004F07EF" w:rsidRDefault="00D52F96" w:rsidP="00A2016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="004B0305">
              <w:t xml:space="preserve">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>przygotować projekt na podstawie literatury anglojęzycznej</w:t>
            </w:r>
            <w:r w:rsidR="002644FE">
              <w:rPr>
                <w:sz w:val="16"/>
                <w:szCs w:val="16"/>
              </w:rPr>
              <w:t xml:space="preserve"> i </w:t>
            </w:r>
            <w:r w:rsidR="002644FE">
              <w:t xml:space="preserve"> </w:t>
            </w:r>
            <w:r w:rsidR="002644FE" w:rsidRPr="002644FE">
              <w:rPr>
                <w:sz w:val="16"/>
                <w:szCs w:val="16"/>
              </w:rPr>
              <w:t>zastosować się do wytycznych Krajowej Komisji Etycznej</w:t>
            </w:r>
          </w:p>
        </w:tc>
        <w:tc>
          <w:tcPr>
            <w:tcW w:w="2520" w:type="dxa"/>
            <w:gridSpan w:val="4"/>
            <w:vAlign w:val="center"/>
          </w:tcPr>
          <w:p w14:paraId="313F70C7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69D642F4" w14:textId="77777777" w:rsidR="00B30AEC" w:rsidRPr="004F07EF" w:rsidRDefault="00B30AEC" w:rsidP="006E3E1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>
              <w:rPr>
                <w:bCs/>
                <w:sz w:val="16"/>
                <w:szCs w:val="16"/>
              </w:rPr>
              <w:t xml:space="preserve">– </w:t>
            </w:r>
            <w:r w:rsidR="003F0E11">
              <w:t xml:space="preserve"> </w:t>
            </w:r>
            <w:r w:rsidR="004B0305">
              <w:t xml:space="preserve"> </w:t>
            </w:r>
            <w:r w:rsidR="002644FE" w:rsidRPr="002644FE">
              <w:rPr>
                <w:sz w:val="16"/>
                <w:szCs w:val="16"/>
              </w:rPr>
              <w:t>rozwiązywania</w:t>
            </w:r>
            <w:r w:rsidR="002644FE">
              <w:t xml:space="preserve"> </w:t>
            </w:r>
            <w:r w:rsidR="002644FE" w:rsidRPr="002644FE">
              <w:rPr>
                <w:bCs/>
                <w:sz w:val="16"/>
                <w:szCs w:val="16"/>
              </w:rPr>
              <w:t>dylematów związanych z prowadzeniem badań z udziałem zwierząt oraz odpowiedzialności za przeprowadzone doświadczenia z udziałem zwierząt</w:t>
            </w:r>
          </w:p>
        </w:tc>
      </w:tr>
      <w:tr w:rsidR="00281849" w:rsidRPr="004F07EF" w14:paraId="7F5C67E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C1B024E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3345423" w14:textId="77777777" w:rsidR="002819CC" w:rsidRDefault="002819CC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 – W01, 02, U01, K01, 02</w:t>
            </w:r>
          </w:p>
          <w:p w14:paraId="598C8879" w14:textId="77777777" w:rsidR="00281849" w:rsidRPr="004F07EF" w:rsidRDefault="002819CC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– U02, K01</w:t>
            </w:r>
          </w:p>
        </w:tc>
      </w:tr>
      <w:tr w:rsidR="00281849" w:rsidRPr="004F07EF" w14:paraId="077EA99C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70B73AC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D61441C" w14:textId="77777777" w:rsidR="00281849" w:rsidRPr="004F07EF" w:rsidRDefault="002819CC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doświadczenia oraz wniosku do LKE, zaliczenie końcowe w formie pracy pisemnej lub zaliczenia zdalnego</w:t>
            </w:r>
          </w:p>
        </w:tc>
      </w:tr>
      <w:tr w:rsidR="0057639E" w:rsidRPr="004F07EF" w14:paraId="4A14BAD1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13D8B6F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511AD8EC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0E00A709" w14:textId="77777777" w:rsidR="0057639E" w:rsidRPr="0057639E" w:rsidRDefault="002644FE" w:rsidP="003F0E11">
            <w:pPr>
              <w:spacing w:line="240" w:lineRule="auto"/>
              <w:rPr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Zaliczenie pisemne- 70%; projekt - 30%</w:t>
            </w:r>
          </w:p>
        </w:tc>
      </w:tr>
      <w:tr w:rsidR="0057639E" w:rsidRPr="004F07EF" w14:paraId="65C7E2A4" w14:textId="77777777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14:paraId="184FC6C2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4788CA5B" w14:textId="77777777" w:rsidR="0057639E" w:rsidRPr="0057639E" w:rsidRDefault="002644FE" w:rsidP="00584364">
            <w:pPr>
              <w:rPr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Sala dydaktyczna, zwierzętarnia</w:t>
            </w:r>
            <w:r w:rsidR="002819CC">
              <w:rPr>
                <w:rFonts w:cs="Arial"/>
                <w:sz w:val="16"/>
                <w:szCs w:val="16"/>
              </w:rPr>
              <w:t>, MS Teams</w:t>
            </w:r>
          </w:p>
        </w:tc>
      </w:tr>
      <w:tr w:rsidR="00281849" w:rsidRPr="002644FE" w14:paraId="61D2B172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04EA8C3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24AD0BFF" w14:textId="77777777" w:rsidR="002644FE" w:rsidRPr="002644FE" w:rsidRDefault="004B0305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lastRenderedPageBreak/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</w:r>
            <w:r w:rsidR="002644FE" w:rsidRPr="002644FE">
              <w:rPr>
                <w:rFonts w:cs="Arial"/>
                <w:sz w:val="16"/>
                <w:szCs w:val="16"/>
              </w:rPr>
              <w:t>Sławiński, T. 1981. Zasady hodowli zwierząt laboratoryjnych. Warszawa: PWN</w:t>
            </w:r>
          </w:p>
          <w:p w14:paraId="1DB1F03C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 xml:space="preserve">Brylińska, J., Kwiatkowska, J. (red.). 1996. Zwierzęta laboratoryjne: metody hodowli i doświadczeń. Kraków </w:t>
            </w:r>
            <w:proofErr w:type="spellStart"/>
            <w:r w:rsidRPr="002644FE">
              <w:rPr>
                <w:rFonts w:cs="Arial"/>
                <w:sz w:val="16"/>
                <w:szCs w:val="16"/>
              </w:rPr>
              <w:t>Universitas</w:t>
            </w:r>
            <w:proofErr w:type="spellEnd"/>
            <w:r w:rsidRPr="002644FE">
              <w:rPr>
                <w:rFonts w:cs="Arial"/>
                <w:sz w:val="16"/>
                <w:szCs w:val="16"/>
              </w:rPr>
              <w:t xml:space="preserve">. </w:t>
            </w:r>
          </w:p>
          <w:p w14:paraId="4E59E2EC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Krzanowska, H. 1981. Niektóre aspekty fizjologii zwierząt laboratoryjnych. Warszawa PWN</w:t>
            </w:r>
          </w:p>
          <w:p w14:paraId="69634941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  <w:lang w:val="en-US"/>
              </w:rPr>
              <w:t>•</w:t>
            </w:r>
            <w:r w:rsidRPr="002644FE">
              <w:rPr>
                <w:rFonts w:cs="Arial"/>
                <w:sz w:val="16"/>
                <w:szCs w:val="16"/>
                <w:lang w:val="en-US"/>
              </w:rPr>
              <w:tab/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Kaliste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, E. (red.). 2007. The Welfare of Laboratory Animals. </w:t>
            </w:r>
            <w:r w:rsidRPr="002644FE">
              <w:rPr>
                <w:rFonts w:cs="Arial"/>
                <w:sz w:val="16"/>
                <w:szCs w:val="16"/>
              </w:rPr>
              <w:t>Dordrecht: Springer</w:t>
            </w:r>
          </w:p>
          <w:p w14:paraId="20FE346E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Ustawa z dnia 15 stycznia 2015 r. o ochronie zwierząt wykorzystywanych do celów naukowych lub edukacyjnych</w:t>
            </w:r>
          </w:p>
          <w:p w14:paraId="532E366D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Bishop J. 2001. Ssaki transgeniczne. PWN</w:t>
            </w:r>
          </w:p>
          <w:p w14:paraId="2EEAE4F7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 xml:space="preserve">Charon K., Świtoński M. 2008. Genetyka zwierząt. PWN </w:t>
            </w:r>
          </w:p>
          <w:p w14:paraId="045EAAC1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 xml:space="preserve">Jura C., Klag J. 2005. Podstawy embriologii zwierząt i człowieka. </w:t>
            </w:r>
            <w:r w:rsidRPr="002644FE">
              <w:rPr>
                <w:rFonts w:cs="Arial"/>
                <w:sz w:val="16"/>
                <w:szCs w:val="16"/>
                <w:lang w:val="en-US"/>
              </w:rPr>
              <w:t>PWN</w:t>
            </w:r>
          </w:p>
          <w:p w14:paraId="3EC96B7B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  <w:lang w:val="en-US"/>
              </w:rPr>
              <w:t>•</w:t>
            </w:r>
            <w:r w:rsidRPr="002644FE">
              <w:rPr>
                <w:rFonts w:cs="Arial"/>
                <w:sz w:val="16"/>
                <w:szCs w:val="16"/>
                <w:lang w:val="en-US"/>
              </w:rPr>
              <w:tab/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Perrys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F.,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Ekker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Farell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A.P.,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Branner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C.J. 2010. Zebrafish.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Seria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Fish Physiology vol. 29. </w:t>
            </w:r>
            <w:proofErr w:type="spellStart"/>
            <w:r w:rsidRPr="002644FE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2644FE">
              <w:rPr>
                <w:rFonts w:cs="Arial"/>
                <w:sz w:val="16"/>
                <w:szCs w:val="16"/>
              </w:rPr>
              <w:t xml:space="preserve"> Press, San Diego.</w:t>
            </w:r>
          </w:p>
          <w:p w14:paraId="502D1E75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Zwierzchowski L., Jaszczak K. Modliński J. 1997. Biotechnologia zwierząt. PWN</w:t>
            </w:r>
          </w:p>
          <w:p w14:paraId="6DF640FF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Hager D. 2008. Wykorzystanie świń w badaniach biomedycznych ze szczególnym uwzględnieniem ksenotransplantacji. Pr inż., WNZ SGGW</w:t>
            </w:r>
          </w:p>
          <w:p w14:paraId="1B287651" w14:textId="77777777" w:rsidR="002644FE" w:rsidRPr="002644FE" w:rsidRDefault="002644FE" w:rsidP="002644FE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 xml:space="preserve">Hager D. 2009. Świnie miniaturowe – zwierzęta laboratoryjne i towarzyszące.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Pr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44FE">
              <w:rPr>
                <w:rFonts w:cs="Arial"/>
                <w:sz w:val="16"/>
                <w:szCs w:val="16"/>
                <w:lang w:val="en-US"/>
              </w:rPr>
              <w:t>mgr</w:t>
            </w:r>
            <w:proofErr w:type="spellEnd"/>
            <w:r w:rsidRPr="002644FE">
              <w:rPr>
                <w:rFonts w:cs="Arial"/>
                <w:sz w:val="16"/>
                <w:szCs w:val="16"/>
                <w:lang w:val="en-US"/>
              </w:rPr>
              <w:t>, WNZ SGGW</w:t>
            </w:r>
          </w:p>
          <w:p w14:paraId="7A4FC8AE" w14:textId="77777777" w:rsidR="00281849" w:rsidRPr="002644FE" w:rsidRDefault="002644FE" w:rsidP="002644FE">
            <w:pPr>
              <w:spacing w:line="240" w:lineRule="auto"/>
              <w:rPr>
                <w:sz w:val="16"/>
                <w:szCs w:val="16"/>
              </w:rPr>
            </w:pPr>
            <w:r w:rsidRPr="002644FE">
              <w:rPr>
                <w:rFonts w:cs="Arial"/>
                <w:sz w:val="16"/>
                <w:szCs w:val="16"/>
              </w:rPr>
              <w:t>•</w:t>
            </w:r>
            <w:r w:rsidRPr="002644FE">
              <w:rPr>
                <w:rFonts w:cs="Arial"/>
                <w:sz w:val="16"/>
                <w:szCs w:val="16"/>
              </w:rPr>
              <w:tab/>
              <w:t>Artykuły naukowe i źródła internetowe dotyczące zwierząt modelowych i ich wykorzystania w badaniach oraz zasad prowadzenia zwierzętarni.</w:t>
            </w:r>
          </w:p>
        </w:tc>
      </w:tr>
      <w:tr w:rsidR="00281849" w:rsidRPr="004F07EF" w14:paraId="77FADDA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AEE5487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lastRenderedPageBreak/>
              <w:t>UWAGI</w:t>
            </w:r>
          </w:p>
          <w:p w14:paraId="542DB162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E15724E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47CF0E40" w14:textId="77777777" w:rsidR="008F7E6F" w:rsidRDefault="008F7E6F">
      <w:pPr>
        <w:rPr>
          <w:sz w:val="16"/>
        </w:rPr>
      </w:pPr>
    </w:p>
    <w:p w14:paraId="6D628716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5E9E96DD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77E54F06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3159915" w14:textId="77777777" w:rsidR="00ED11F9" w:rsidRPr="004F07EF" w:rsidRDefault="007B1C74" w:rsidP="000E1D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E1D3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7BB5E86E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050E8D22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A48F399" w14:textId="77777777" w:rsidR="00ED11F9" w:rsidRPr="004F07EF" w:rsidRDefault="007B1C74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E1D3B">
              <w:rPr>
                <w:b/>
                <w:bCs/>
                <w:sz w:val="18"/>
                <w:szCs w:val="18"/>
              </w:rPr>
              <w:t>,5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CA2B87A" w14:textId="77777777" w:rsidR="00ED11F9" w:rsidRDefault="00ED11F9" w:rsidP="00ED11F9"/>
    <w:p w14:paraId="598BE52E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66E3ECC7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2A5D7AF3" w14:textId="77777777" w:rsidTr="0093211F">
        <w:tc>
          <w:tcPr>
            <w:tcW w:w="1547" w:type="dxa"/>
          </w:tcPr>
          <w:p w14:paraId="50FF6AAE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71AC6DA0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7EF679D9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0AD7B3C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0C4A8881" w14:textId="77777777" w:rsidTr="0093211F">
        <w:tc>
          <w:tcPr>
            <w:tcW w:w="1547" w:type="dxa"/>
          </w:tcPr>
          <w:p w14:paraId="5F42810F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155E12EA" w14:textId="77777777" w:rsidR="00281849" w:rsidRPr="004F07EF" w:rsidRDefault="002644FE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definicję, przykłady i zastosowanie zwierząt modelowych</w:t>
            </w:r>
            <w:r>
              <w:rPr>
                <w:sz w:val="16"/>
                <w:szCs w:val="16"/>
              </w:rPr>
              <w:t xml:space="preserve"> oraz zasady standaryzacji genetycznej</w:t>
            </w:r>
          </w:p>
        </w:tc>
        <w:tc>
          <w:tcPr>
            <w:tcW w:w="3001" w:type="dxa"/>
          </w:tcPr>
          <w:p w14:paraId="55085527" w14:textId="77777777" w:rsidR="00281849" w:rsidRPr="004F07EF" w:rsidRDefault="002644FE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K_W09, K_W10</w:t>
            </w:r>
          </w:p>
        </w:tc>
        <w:tc>
          <w:tcPr>
            <w:tcW w:w="1381" w:type="dxa"/>
          </w:tcPr>
          <w:p w14:paraId="3BB79136" w14:textId="77777777" w:rsidR="00281849" w:rsidRPr="004F07EF" w:rsidRDefault="002644F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F0ADF">
              <w:rPr>
                <w:bCs/>
                <w:sz w:val="16"/>
                <w:szCs w:val="16"/>
              </w:rPr>
              <w:t>, 2</w:t>
            </w:r>
          </w:p>
        </w:tc>
      </w:tr>
      <w:tr w:rsidR="003F0E11" w:rsidRPr="004F07EF" w14:paraId="1649FFBD" w14:textId="77777777" w:rsidTr="0093211F">
        <w:tc>
          <w:tcPr>
            <w:tcW w:w="1547" w:type="dxa"/>
          </w:tcPr>
          <w:p w14:paraId="22638612" w14:textId="77777777"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5F1B25C5" w14:textId="77777777" w:rsidR="003F0E11" w:rsidRPr="003F0E11" w:rsidRDefault="002644FE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zasady projektowania doświadczeń z udziałem zwierząt</w:t>
            </w:r>
          </w:p>
        </w:tc>
        <w:tc>
          <w:tcPr>
            <w:tcW w:w="3001" w:type="dxa"/>
          </w:tcPr>
          <w:p w14:paraId="2F84F07A" w14:textId="77777777" w:rsidR="003F0E11" w:rsidRPr="004F07EF" w:rsidRDefault="002644FE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1A0A401B" w14:textId="77777777" w:rsidR="003F0E11" w:rsidRPr="004F07EF" w:rsidRDefault="002644FE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33830" w:rsidRPr="004F07EF" w14:paraId="166038D8" w14:textId="77777777" w:rsidTr="0093211F">
        <w:tc>
          <w:tcPr>
            <w:tcW w:w="1547" w:type="dxa"/>
          </w:tcPr>
          <w:p w14:paraId="2FE4A46B" w14:textId="77777777"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71845D88" w14:textId="77777777" w:rsidR="00333830" w:rsidRPr="00107F43" w:rsidRDefault="002644FE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zaplanować i przeprowadzić proste doświadczenie na zwierzętach</w:t>
            </w:r>
          </w:p>
        </w:tc>
        <w:tc>
          <w:tcPr>
            <w:tcW w:w="3001" w:type="dxa"/>
          </w:tcPr>
          <w:p w14:paraId="7E05213D" w14:textId="77777777" w:rsidR="00333830" w:rsidRPr="004F07EF" w:rsidRDefault="002644F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K_U07, K_U12</w:t>
            </w:r>
          </w:p>
        </w:tc>
        <w:tc>
          <w:tcPr>
            <w:tcW w:w="1381" w:type="dxa"/>
          </w:tcPr>
          <w:p w14:paraId="25D924A9" w14:textId="77777777" w:rsidR="00333830" w:rsidRPr="004F07EF" w:rsidRDefault="002644F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F0ADF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14:paraId="2A6B2408" w14:textId="77777777" w:rsidTr="0093211F">
        <w:tc>
          <w:tcPr>
            <w:tcW w:w="1547" w:type="dxa"/>
          </w:tcPr>
          <w:p w14:paraId="04717AF5" w14:textId="77777777" w:rsidR="00E803B8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1086BD3B" w14:textId="77777777" w:rsidR="00E803B8" w:rsidRPr="003C362C" w:rsidRDefault="002644FE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przygotować projekt na podstawie literatury anglojęzycznej</w:t>
            </w:r>
            <w:r>
              <w:rPr>
                <w:sz w:val="16"/>
                <w:szCs w:val="16"/>
              </w:rPr>
              <w:t xml:space="preserve"> i </w:t>
            </w:r>
            <w:r>
              <w:t xml:space="preserve"> </w:t>
            </w:r>
            <w:r w:rsidRPr="002644FE">
              <w:rPr>
                <w:sz w:val="16"/>
                <w:szCs w:val="16"/>
              </w:rPr>
              <w:t>zastosować się do wytycznych Krajowej Komisji Etycznej</w:t>
            </w:r>
          </w:p>
        </w:tc>
        <w:tc>
          <w:tcPr>
            <w:tcW w:w="3001" w:type="dxa"/>
          </w:tcPr>
          <w:p w14:paraId="1C164B11" w14:textId="77777777" w:rsidR="00E803B8" w:rsidRPr="004F07EF" w:rsidRDefault="002644F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K_U13, K_U15, K_U14</w:t>
            </w:r>
          </w:p>
        </w:tc>
        <w:tc>
          <w:tcPr>
            <w:tcW w:w="1381" w:type="dxa"/>
          </w:tcPr>
          <w:p w14:paraId="1E4A7B5B" w14:textId="77777777" w:rsidR="00E803B8" w:rsidRPr="004F07EF" w:rsidRDefault="002644F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F0ADF">
              <w:rPr>
                <w:bCs/>
                <w:sz w:val="16"/>
                <w:szCs w:val="16"/>
              </w:rPr>
              <w:t>, 2, 2, 2</w:t>
            </w:r>
          </w:p>
        </w:tc>
      </w:tr>
      <w:tr w:rsidR="00611C9B" w:rsidRPr="004F07EF" w14:paraId="61330FC2" w14:textId="77777777" w:rsidTr="0093211F">
        <w:tc>
          <w:tcPr>
            <w:tcW w:w="1547" w:type="dxa"/>
          </w:tcPr>
          <w:p w14:paraId="6B5215CE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471B63F1" w14:textId="77777777" w:rsidR="00611C9B" w:rsidRPr="004F07EF" w:rsidRDefault="002644FE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2644FE">
              <w:rPr>
                <w:sz w:val="16"/>
                <w:szCs w:val="16"/>
              </w:rPr>
              <w:t>rozwiązywania</w:t>
            </w:r>
            <w:r>
              <w:t xml:space="preserve"> </w:t>
            </w:r>
            <w:r w:rsidRPr="002644FE">
              <w:rPr>
                <w:bCs/>
                <w:sz w:val="16"/>
                <w:szCs w:val="16"/>
              </w:rPr>
              <w:t>dylematów związanych z prowadzeniem badań z udziałem zwierząt oraz odpowiedzialności za przeprowadzone doświadczenia z udziałem zwierząt</w:t>
            </w:r>
          </w:p>
        </w:tc>
        <w:tc>
          <w:tcPr>
            <w:tcW w:w="3001" w:type="dxa"/>
          </w:tcPr>
          <w:p w14:paraId="00D5E1CE" w14:textId="77777777" w:rsidR="00611C9B" w:rsidRPr="004F07EF" w:rsidRDefault="002644FE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284459BA" w14:textId="77777777" w:rsidR="00611C9B" w:rsidRPr="004F07EF" w:rsidRDefault="002644FE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14:paraId="7EF06CF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6892107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468E3DB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59E317F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781BEB5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62209623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F084" w14:textId="77777777" w:rsidR="005F2EA2" w:rsidRDefault="005F2EA2" w:rsidP="002C0CA5">
      <w:pPr>
        <w:spacing w:line="240" w:lineRule="auto"/>
      </w:pPr>
      <w:r>
        <w:separator/>
      </w:r>
    </w:p>
  </w:endnote>
  <w:endnote w:type="continuationSeparator" w:id="0">
    <w:p w14:paraId="757435E9" w14:textId="77777777" w:rsidR="005F2EA2" w:rsidRDefault="005F2EA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E0C3" w14:textId="77777777" w:rsidR="005F2EA2" w:rsidRDefault="005F2EA2" w:rsidP="002C0CA5">
      <w:pPr>
        <w:spacing w:line="240" w:lineRule="auto"/>
      </w:pPr>
      <w:r>
        <w:separator/>
      </w:r>
    </w:p>
  </w:footnote>
  <w:footnote w:type="continuationSeparator" w:id="0">
    <w:p w14:paraId="1824489F" w14:textId="77777777" w:rsidR="005F2EA2" w:rsidRDefault="005F2EA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834BC"/>
    <w:rsid w:val="000C4232"/>
    <w:rsid w:val="000D6316"/>
    <w:rsid w:val="000E1D3B"/>
    <w:rsid w:val="000F3658"/>
    <w:rsid w:val="000F637A"/>
    <w:rsid w:val="00107F43"/>
    <w:rsid w:val="00114C8C"/>
    <w:rsid w:val="0012460E"/>
    <w:rsid w:val="00125A62"/>
    <w:rsid w:val="00125A97"/>
    <w:rsid w:val="00155311"/>
    <w:rsid w:val="00173F19"/>
    <w:rsid w:val="00196C1B"/>
    <w:rsid w:val="001B1B23"/>
    <w:rsid w:val="001F23E3"/>
    <w:rsid w:val="001F2A3C"/>
    <w:rsid w:val="00207BBF"/>
    <w:rsid w:val="00223005"/>
    <w:rsid w:val="00223CAE"/>
    <w:rsid w:val="002643D8"/>
    <w:rsid w:val="002644FE"/>
    <w:rsid w:val="00281849"/>
    <w:rsid w:val="002819CC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931BC"/>
    <w:rsid w:val="003A1365"/>
    <w:rsid w:val="003A5151"/>
    <w:rsid w:val="003B59FE"/>
    <w:rsid w:val="003B680D"/>
    <w:rsid w:val="003C362C"/>
    <w:rsid w:val="003D31DD"/>
    <w:rsid w:val="003F0E11"/>
    <w:rsid w:val="0042563D"/>
    <w:rsid w:val="00456A7D"/>
    <w:rsid w:val="00486764"/>
    <w:rsid w:val="004B0305"/>
    <w:rsid w:val="004B7E16"/>
    <w:rsid w:val="004C515A"/>
    <w:rsid w:val="004E0B47"/>
    <w:rsid w:val="004F07EF"/>
    <w:rsid w:val="004F5168"/>
    <w:rsid w:val="005031F1"/>
    <w:rsid w:val="005473C6"/>
    <w:rsid w:val="0056214B"/>
    <w:rsid w:val="0057103C"/>
    <w:rsid w:val="0057639E"/>
    <w:rsid w:val="00581C8D"/>
    <w:rsid w:val="00584364"/>
    <w:rsid w:val="005A5286"/>
    <w:rsid w:val="005D0EB1"/>
    <w:rsid w:val="005F2EA2"/>
    <w:rsid w:val="00611C9B"/>
    <w:rsid w:val="006674DC"/>
    <w:rsid w:val="006816ED"/>
    <w:rsid w:val="0068236B"/>
    <w:rsid w:val="006B4811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860FAB"/>
    <w:rsid w:val="008C5679"/>
    <w:rsid w:val="008D1BF1"/>
    <w:rsid w:val="008F7E6F"/>
    <w:rsid w:val="00925376"/>
    <w:rsid w:val="0093211F"/>
    <w:rsid w:val="00940CBB"/>
    <w:rsid w:val="00965A2D"/>
    <w:rsid w:val="00966E0B"/>
    <w:rsid w:val="00971594"/>
    <w:rsid w:val="009B21A4"/>
    <w:rsid w:val="009C4A93"/>
    <w:rsid w:val="009E71F1"/>
    <w:rsid w:val="00A13094"/>
    <w:rsid w:val="00A20169"/>
    <w:rsid w:val="00A43564"/>
    <w:rsid w:val="00A44846"/>
    <w:rsid w:val="00A466BD"/>
    <w:rsid w:val="00A653F3"/>
    <w:rsid w:val="00A65904"/>
    <w:rsid w:val="00A94EDE"/>
    <w:rsid w:val="00AA4CF2"/>
    <w:rsid w:val="00AA6A7A"/>
    <w:rsid w:val="00AB3D9E"/>
    <w:rsid w:val="00AC7C83"/>
    <w:rsid w:val="00AE1160"/>
    <w:rsid w:val="00B1553B"/>
    <w:rsid w:val="00B27029"/>
    <w:rsid w:val="00B2721F"/>
    <w:rsid w:val="00B30AEC"/>
    <w:rsid w:val="00BC499C"/>
    <w:rsid w:val="00C02FD3"/>
    <w:rsid w:val="00C06F49"/>
    <w:rsid w:val="00C45596"/>
    <w:rsid w:val="00C503ED"/>
    <w:rsid w:val="00C52862"/>
    <w:rsid w:val="00C53532"/>
    <w:rsid w:val="00CC220B"/>
    <w:rsid w:val="00CC225C"/>
    <w:rsid w:val="00CD0414"/>
    <w:rsid w:val="00CF37D6"/>
    <w:rsid w:val="00CF6FEB"/>
    <w:rsid w:val="00D00213"/>
    <w:rsid w:val="00D52F96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2F28"/>
    <w:rsid w:val="00EF6E90"/>
    <w:rsid w:val="00F17173"/>
    <w:rsid w:val="00F45425"/>
    <w:rsid w:val="00F476C8"/>
    <w:rsid w:val="00FB2DB7"/>
    <w:rsid w:val="00FB71B8"/>
    <w:rsid w:val="00FD66CB"/>
    <w:rsid w:val="00FE1580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337"/>
  <w15:chartTrackingRefBased/>
  <w15:docId w15:val="{8B28351D-2D68-486F-8368-FAE7603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/>
      <w:i/>
      <w:i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2022-02-22T06:43:00Z</dcterms:created>
  <dcterms:modified xsi:type="dcterms:W3CDTF">2022-02-22T06:43:00Z</dcterms:modified>
</cp:coreProperties>
</file>